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80DF" w14:textId="77777777" w:rsidR="00F850EF" w:rsidRPr="00F850EF" w:rsidRDefault="00F850EF" w:rsidP="00F850EF">
      <w:pPr>
        <w:pBdr>
          <w:top w:val="single" w:sz="4" w:space="1" w:color="auto"/>
          <w:left w:val="single" w:sz="4" w:space="4" w:color="auto"/>
          <w:bottom w:val="single" w:sz="4" w:space="1" w:color="auto"/>
          <w:right w:val="single" w:sz="4" w:space="4" w:color="auto"/>
        </w:pBdr>
        <w:spacing w:after="0"/>
        <w:ind w:right="5670"/>
        <w:rPr>
          <w:rFonts w:ascii="Times New Roman" w:hAnsi="Times New Roman"/>
          <w:color w:val="FF0000"/>
          <w:sz w:val="26"/>
          <w:szCs w:val="26"/>
        </w:rPr>
      </w:pPr>
      <w:bookmarkStart w:id="0" w:name="_Hlk77839959"/>
      <w:r w:rsidRPr="00F850EF">
        <w:rPr>
          <w:rFonts w:ascii="Times New Roman" w:hAnsi="Times New Roman"/>
          <w:color w:val="FF0000"/>
          <w:sz w:val="26"/>
          <w:szCs w:val="26"/>
        </w:rPr>
        <w:t>Approved by the Board of Trustees</w:t>
      </w:r>
    </w:p>
    <w:p w14:paraId="4998DDBA" w14:textId="77777777" w:rsidR="00F850EF" w:rsidRPr="00F850EF" w:rsidRDefault="00F850EF" w:rsidP="00F850EF">
      <w:pPr>
        <w:pBdr>
          <w:top w:val="single" w:sz="4" w:space="1" w:color="auto"/>
          <w:left w:val="single" w:sz="4" w:space="4" w:color="auto"/>
          <w:bottom w:val="single" w:sz="4" w:space="1" w:color="auto"/>
          <w:right w:val="single" w:sz="4" w:space="4" w:color="auto"/>
        </w:pBdr>
        <w:spacing w:after="0"/>
        <w:ind w:right="5670"/>
        <w:rPr>
          <w:rFonts w:ascii="Times New Roman" w:hAnsi="Times New Roman"/>
          <w:color w:val="FF0000"/>
          <w:sz w:val="26"/>
          <w:szCs w:val="26"/>
        </w:rPr>
      </w:pPr>
      <w:r w:rsidRPr="00F850EF">
        <w:rPr>
          <w:rFonts w:ascii="Times New Roman" w:hAnsi="Times New Roman"/>
          <w:color w:val="FF0000"/>
          <w:sz w:val="26"/>
          <w:szCs w:val="26"/>
        </w:rPr>
        <w:t>September 23, 2021</w:t>
      </w:r>
    </w:p>
    <w:bookmarkEnd w:id="0"/>
    <w:p w14:paraId="2212B691" w14:textId="118429D8" w:rsidR="00790C45" w:rsidRPr="00FA7B6A" w:rsidRDefault="00FA7B6A" w:rsidP="00790C45">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tLeast"/>
        <w:jc w:val="right"/>
        <w:textAlignment w:val="baseline"/>
        <w:rPr>
          <w:rFonts w:ascii="Times New Roman" w:eastAsia="Times New Roman" w:hAnsi="Times New Roman"/>
          <w:b/>
          <w:color w:val="000000"/>
          <w:sz w:val="60"/>
          <w:szCs w:val="60"/>
        </w:rPr>
      </w:pPr>
      <w:r w:rsidRPr="00FA7B6A">
        <w:rPr>
          <w:rFonts w:ascii="Times New Roman" w:eastAsia="Times New Roman" w:hAnsi="Times New Roman"/>
          <w:b/>
          <w:color w:val="000000"/>
          <w:sz w:val="60"/>
          <w:szCs w:val="60"/>
        </w:rPr>
        <w:t>25</w:t>
      </w:r>
      <w:r w:rsidR="00790C45" w:rsidRPr="00FA7B6A">
        <w:rPr>
          <w:rFonts w:ascii="Times New Roman" w:eastAsia="Times New Roman" w:hAnsi="Times New Roman"/>
          <w:b/>
          <w:color w:val="000000"/>
          <w:sz w:val="60"/>
          <w:szCs w:val="60"/>
        </w:rPr>
        <w:t xml:space="preserve">  </w:t>
      </w:r>
    </w:p>
    <w:p w14:paraId="348ED077" w14:textId="77777777" w:rsidR="00720521" w:rsidRDefault="00720521" w:rsidP="0016200E">
      <w:pPr>
        <w:tabs>
          <w:tab w:val="left" w:pos="-1440"/>
          <w:tab w:val="left" w:pos="-720"/>
          <w:tab w:val="left" w:pos="7200"/>
        </w:tabs>
        <w:overflowPunct w:val="0"/>
        <w:autoSpaceDE w:val="0"/>
        <w:autoSpaceDN w:val="0"/>
        <w:adjustRightInd w:val="0"/>
        <w:spacing w:after="0" w:line="240" w:lineRule="auto"/>
        <w:textAlignment w:val="baseline"/>
        <w:rPr>
          <w:rFonts w:ascii="Times New Roman" w:eastAsia="Times New Roman" w:hAnsi="Times New Roman"/>
          <w:color w:val="FF0000"/>
          <w:sz w:val="26"/>
          <w:szCs w:val="26"/>
        </w:rPr>
      </w:pPr>
    </w:p>
    <w:p w14:paraId="7366C73E" w14:textId="150D269B" w:rsidR="00790C45" w:rsidRPr="0016200E" w:rsidRDefault="0016200E" w:rsidP="0016200E">
      <w:pPr>
        <w:tabs>
          <w:tab w:val="left" w:pos="-1440"/>
          <w:tab w:val="left" w:pos="-720"/>
          <w:tab w:val="left" w:pos="7200"/>
        </w:tabs>
        <w:overflowPunct w:val="0"/>
        <w:autoSpaceDE w:val="0"/>
        <w:autoSpaceDN w:val="0"/>
        <w:adjustRightInd w:val="0"/>
        <w:spacing w:after="0" w:line="240" w:lineRule="auto"/>
        <w:textAlignment w:val="baseline"/>
        <w:rPr>
          <w:rFonts w:ascii="Times New Roman" w:eastAsia="Times New Roman" w:hAnsi="Times New Roman"/>
          <w:color w:val="FF0000"/>
          <w:sz w:val="26"/>
          <w:szCs w:val="26"/>
        </w:rPr>
      </w:pPr>
      <w:r>
        <w:rPr>
          <w:rFonts w:ascii="Times New Roman" w:eastAsia="Times New Roman" w:hAnsi="Times New Roman"/>
          <w:color w:val="000000"/>
          <w:sz w:val="26"/>
          <w:szCs w:val="26"/>
        </w:rPr>
        <w:tab/>
      </w:r>
      <w:r w:rsidR="00790C45" w:rsidRPr="00162A4C">
        <w:rPr>
          <w:rFonts w:ascii="Times New Roman" w:eastAsia="Times New Roman" w:hAnsi="Times New Roman"/>
          <w:color w:val="000000"/>
          <w:sz w:val="26"/>
          <w:szCs w:val="26"/>
        </w:rPr>
        <w:t>Board Meeting</w:t>
      </w:r>
    </w:p>
    <w:p w14:paraId="48F69593" w14:textId="7F239CD5" w:rsidR="00790C45" w:rsidRPr="00162A4C" w:rsidRDefault="0016200E" w:rsidP="0016200E">
      <w:pPr>
        <w:tabs>
          <w:tab w:val="left" w:pos="-1440"/>
          <w:tab w:val="left" w:pos="-720"/>
          <w:tab w:val="left" w:pos="7200"/>
        </w:tabs>
        <w:overflowPunct w:val="0"/>
        <w:autoSpaceDE w:val="0"/>
        <w:autoSpaceDN w:val="0"/>
        <w:adjustRightInd w:val="0"/>
        <w:spacing w:after="0" w:line="240" w:lineRule="auto"/>
        <w:textAlignment w:val="baseline"/>
        <w:rPr>
          <w:rFonts w:ascii="Times New Roman" w:eastAsia="Times New Roman" w:hAnsi="Times New Roman"/>
          <w:color w:val="000000"/>
          <w:sz w:val="26"/>
          <w:szCs w:val="26"/>
        </w:rPr>
      </w:pPr>
      <w:r>
        <w:rPr>
          <w:rFonts w:ascii="Times New Roman" w:eastAsia="Times New Roman" w:hAnsi="Times New Roman"/>
          <w:color w:val="000000"/>
          <w:sz w:val="26"/>
          <w:szCs w:val="26"/>
        </w:rPr>
        <w:tab/>
      </w:r>
      <w:r w:rsidR="00045D69">
        <w:rPr>
          <w:rFonts w:ascii="Times New Roman" w:eastAsia="Times New Roman" w:hAnsi="Times New Roman"/>
          <w:color w:val="000000"/>
          <w:sz w:val="26"/>
          <w:szCs w:val="26"/>
        </w:rPr>
        <w:t>September 23</w:t>
      </w:r>
      <w:r w:rsidR="003D5357">
        <w:rPr>
          <w:rFonts w:ascii="Times New Roman" w:eastAsia="Times New Roman" w:hAnsi="Times New Roman"/>
          <w:color w:val="000000"/>
          <w:sz w:val="26"/>
          <w:szCs w:val="26"/>
        </w:rPr>
        <w:t>, 20</w:t>
      </w:r>
      <w:r w:rsidR="000C6006">
        <w:rPr>
          <w:rFonts w:ascii="Times New Roman" w:eastAsia="Times New Roman" w:hAnsi="Times New Roman"/>
          <w:color w:val="000000"/>
          <w:sz w:val="26"/>
          <w:szCs w:val="26"/>
        </w:rPr>
        <w:t>2</w:t>
      </w:r>
      <w:r w:rsidR="00D60019">
        <w:rPr>
          <w:rFonts w:ascii="Times New Roman" w:eastAsia="Times New Roman" w:hAnsi="Times New Roman"/>
          <w:color w:val="000000"/>
          <w:sz w:val="26"/>
          <w:szCs w:val="26"/>
        </w:rPr>
        <w:t>1</w:t>
      </w:r>
    </w:p>
    <w:p w14:paraId="36D51294"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27367A01"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r w:rsidRPr="00162A4C">
        <w:rPr>
          <w:rFonts w:ascii="Times New Roman" w:eastAsia="Times New Roman" w:hAnsi="Times New Roman"/>
          <w:color w:val="000000"/>
          <w:sz w:val="26"/>
          <w:szCs w:val="26"/>
        </w:rPr>
        <w:t>ROLL CALL</w:t>
      </w:r>
    </w:p>
    <w:p w14:paraId="6FF341B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622D0303" w14:textId="77777777" w:rsidR="00790C45" w:rsidRPr="00A104DD" w:rsidRDefault="00790C45" w:rsidP="00A104DD">
      <w:pPr>
        <w:pStyle w:val="Heading2"/>
        <w:jc w:val="center"/>
        <w:rPr>
          <w:rFonts w:ascii="Times New Roman" w:hAnsi="Times New Roman"/>
          <w:b w:val="0"/>
          <w:bCs w:val="0"/>
          <w:i w:val="0"/>
          <w:iCs w:val="0"/>
          <w:sz w:val="26"/>
          <w:szCs w:val="26"/>
        </w:rPr>
      </w:pPr>
      <w:r w:rsidRPr="00A104DD">
        <w:rPr>
          <w:rFonts w:ascii="Times New Roman" w:hAnsi="Times New Roman"/>
          <w:b w:val="0"/>
          <w:bCs w:val="0"/>
          <w:i w:val="0"/>
          <w:iCs w:val="0"/>
          <w:sz w:val="26"/>
          <w:szCs w:val="26"/>
        </w:rPr>
        <w:t>PURCHASE RECOMMENDATIONS</w:t>
      </w:r>
    </w:p>
    <w:p w14:paraId="73D97BE7" w14:textId="77777777" w:rsidR="00790C45" w:rsidRPr="00162A4C" w:rsidRDefault="00790C45"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color w:val="000000"/>
          <w:sz w:val="26"/>
          <w:szCs w:val="26"/>
        </w:rPr>
      </w:pPr>
    </w:p>
    <w:p w14:paraId="5C9E919C" w14:textId="7559510C" w:rsidR="00E575F1" w:rsidRPr="0016200E" w:rsidRDefault="00E575F1" w:rsidP="00E575F1">
      <w:pPr>
        <w:rPr>
          <w:rFonts w:ascii="Times New Roman" w:hAnsi="Times New Roman"/>
          <w:i/>
          <w:iCs/>
          <w:sz w:val="26"/>
          <w:szCs w:val="26"/>
        </w:rPr>
      </w:pPr>
      <w:r w:rsidRPr="0016200E">
        <w:rPr>
          <w:rFonts w:ascii="Times New Roman" w:hAnsi="Times New Roman"/>
          <w:sz w:val="26"/>
          <w:szCs w:val="26"/>
        </w:rPr>
        <w:t xml:space="preserve">Following are purchase contracts proposed by each university and the System Office.  The purchases are to be funded from State appropriations or institutional funds as appropriate.  Unless otherwise specified or indicated, purchases are based on the lowest acceptable bid. The </w:t>
      </w:r>
      <w:r w:rsidR="00045D69" w:rsidRPr="0016200E">
        <w:rPr>
          <w:rFonts w:ascii="Times New Roman" w:hAnsi="Times New Roman"/>
          <w:sz w:val="26"/>
          <w:szCs w:val="26"/>
        </w:rPr>
        <w:t xml:space="preserve">Interim </w:t>
      </w:r>
      <w:r w:rsidRPr="0016200E">
        <w:rPr>
          <w:rFonts w:ascii="Times New Roman" w:hAnsi="Times New Roman"/>
          <w:sz w:val="26"/>
          <w:szCs w:val="26"/>
        </w:rPr>
        <w:t xml:space="preserve">Vice President, Chief Financial Officer and Comptroller has approved all purchases to be funded from State appropriations in accordance with the Bylaws of the Board of Trustees and the </w:t>
      </w:r>
      <w:r w:rsidRPr="0016200E">
        <w:rPr>
          <w:rFonts w:ascii="Times New Roman" w:hAnsi="Times New Roman"/>
          <w:i/>
          <w:iCs/>
          <w:sz w:val="26"/>
          <w:szCs w:val="26"/>
        </w:rPr>
        <w:t xml:space="preserve">General Rules Concerning University Organization and Procedure. </w:t>
      </w:r>
    </w:p>
    <w:p w14:paraId="4A44EBB5" w14:textId="77777777" w:rsidR="00E575F1" w:rsidRPr="0016200E" w:rsidRDefault="00E575F1" w:rsidP="00E575F1">
      <w:pPr>
        <w:rPr>
          <w:rFonts w:ascii="Times New Roman" w:hAnsi="Times New Roman"/>
          <w:sz w:val="26"/>
          <w:szCs w:val="26"/>
        </w:rPr>
      </w:pPr>
      <w:r w:rsidRPr="0016200E">
        <w:rPr>
          <w:rFonts w:ascii="Times New Roman" w:hAnsi="Times New Roman"/>
          <w:sz w:val="26"/>
          <w:szCs w:val="26"/>
        </w:rPr>
        <w:t xml:space="preserve">The Board action recommended in this item complies in all material respects with applicable State and Federal laws, University of Illinois </w:t>
      </w:r>
      <w:r w:rsidRPr="0016200E">
        <w:rPr>
          <w:rFonts w:ascii="Times New Roman" w:hAnsi="Times New Roman"/>
          <w:i/>
          <w:iCs/>
          <w:sz w:val="26"/>
          <w:szCs w:val="26"/>
        </w:rPr>
        <w:t>Statutes, The General Rules Concerning University Organization and Procedure</w:t>
      </w:r>
      <w:r w:rsidRPr="0016200E">
        <w:rPr>
          <w:rFonts w:ascii="Times New Roman" w:hAnsi="Times New Roman"/>
          <w:sz w:val="26"/>
          <w:szCs w:val="26"/>
        </w:rPr>
        <w:t>, the Bylaws of the Board of Trustees, and Board of Trustees policies and directives.</w:t>
      </w:r>
    </w:p>
    <w:p w14:paraId="51135705" w14:textId="77777777" w:rsidR="00E575F1" w:rsidRPr="0016200E" w:rsidRDefault="00E575F1" w:rsidP="00E575F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both"/>
        <w:textAlignment w:val="baseline"/>
        <w:rPr>
          <w:rFonts w:ascii="Times New Roman" w:hAnsi="Times New Roman"/>
          <w:sz w:val="26"/>
          <w:szCs w:val="26"/>
        </w:rPr>
      </w:pPr>
      <w:r w:rsidRPr="0016200E">
        <w:rPr>
          <w:rFonts w:ascii="Times New Roman" w:hAnsi="Times New Roman"/>
          <w:sz w:val="26"/>
          <w:szCs w:val="26"/>
        </w:rPr>
        <w:t xml:space="preserve">The President of the University concurs. </w:t>
      </w:r>
    </w:p>
    <w:p w14:paraId="78806F9F" w14:textId="77777777" w:rsidR="00B53ECD" w:rsidRPr="0016200E" w:rsidRDefault="00B53ECD" w:rsidP="00EC5861">
      <w:pPr>
        <w:spacing w:after="0" w:line="240" w:lineRule="auto"/>
        <w:jc w:val="both"/>
        <w:rPr>
          <w:rFonts w:ascii="Times New Roman" w:hAnsi="Times New Roman"/>
          <w:sz w:val="26"/>
          <w:szCs w:val="26"/>
        </w:rPr>
      </w:pPr>
    </w:p>
    <w:p w14:paraId="7247222A" w14:textId="433113DE" w:rsidR="006A498C" w:rsidRDefault="006A498C"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sidRPr="00162A4C">
        <w:rPr>
          <w:rFonts w:ascii="Times New Roman" w:eastAsia="Times New Roman" w:hAnsi="Times New Roman"/>
          <w:b/>
          <w:color w:val="000000"/>
          <w:sz w:val="26"/>
          <w:szCs w:val="26"/>
        </w:rPr>
        <w:t>PURCHASES RECOMMENDED</w:t>
      </w:r>
    </w:p>
    <w:p w14:paraId="4CD415AC" w14:textId="657AAC52" w:rsidR="00A104DD" w:rsidRDefault="00A104DD" w:rsidP="00EC5861">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p w14:paraId="2E31B369" w14:textId="43BC9305" w:rsidR="00A104DD" w:rsidRPr="00162A4C" w:rsidRDefault="00A104DD" w:rsidP="00A104DD">
      <w:pPr>
        <w:pBdr>
          <w:top w:val="single" w:sz="18" w:space="1" w:color="auto"/>
          <w:bottom w:val="single" w:sz="18" w:space="1" w:color="auto"/>
        </w:pBd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sz w:val="26"/>
          <w:szCs w:val="26"/>
        </w:rPr>
        <w:t>University of Illinois at Chicago</w:t>
      </w:r>
    </w:p>
    <w:p w14:paraId="0D1C990D" w14:textId="77777777" w:rsidR="00141D9C" w:rsidRPr="00162A4C" w:rsidRDefault="00141D9C" w:rsidP="00F073A6">
      <w:pPr>
        <w:spacing w:after="0" w:line="240" w:lineRule="auto"/>
        <w:rPr>
          <w:rFonts w:ascii="Times New Roman" w:hAnsi="Times New Roman"/>
          <w:vanish/>
          <w:sz w:val="26"/>
          <w:szCs w:val="26"/>
        </w:rPr>
      </w:pPr>
    </w:p>
    <w:p w14:paraId="29771C89" w14:textId="77777777" w:rsidR="00B37520" w:rsidRDefault="00B37520"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b/>
          <w:color w:val="000000"/>
          <w:sz w:val="26"/>
          <w:szCs w:val="26"/>
        </w:rPr>
      </w:pPr>
    </w:p>
    <w:p w14:paraId="1A9A112E" w14:textId="77777777" w:rsidR="00CB625C" w:rsidRDefault="00CB625C" w:rsidP="00CB625C">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B37520" w:rsidRPr="00E50F57" w14:paraId="446D76C1" w14:textId="77777777" w:rsidTr="00696A30">
        <w:trPr>
          <w:trHeight w:val="120"/>
        </w:trPr>
        <w:tc>
          <w:tcPr>
            <w:tcW w:w="342" w:type="dxa"/>
            <w:tcBorders>
              <w:bottom w:val="double" w:sz="6" w:space="0" w:color="auto"/>
            </w:tcBorders>
          </w:tcPr>
          <w:p w14:paraId="2391C5A3" w14:textId="49709213" w:rsidR="00B37520" w:rsidRPr="00E50F57" w:rsidRDefault="00091912" w:rsidP="00E50F57">
            <w:pPr>
              <w:pStyle w:val="NoSpacing"/>
              <w:rPr>
                <w:rFonts w:ascii="Times New Roman" w:hAnsi="Times New Roman"/>
                <w:sz w:val="26"/>
                <w:szCs w:val="26"/>
              </w:rPr>
            </w:pPr>
            <w:r w:rsidRPr="00D60019">
              <w:rPr>
                <w:rFonts w:ascii="Times New Roman" w:hAnsi="Times New Roman"/>
                <w:sz w:val="26"/>
                <w:szCs w:val="26"/>
              </w:rPr>
              <w:t>1</w:t>
            </w:r>
          </w:p>
        </w:tc>
        <w:tc>
          <w:tcPr>
            <w:tcW w:w="990" w:type="dxa"/>
            <w:tcBorders>
              <w:bottom w:val="double" w:sz="6" w:space="0" w:color="auto"/>
            </w:tcBorders>
          </w:tcPr>
          <w:p w14:paraId="2A57D356" w14:textId="77777777" w:rsidR="00B37520" w:rsidRPr="00E50F57" w:rsidRDefault="00B37520" w:rsidP="00E50F57">
            <w:pPr>
              <w:pStyle w:val="NoSpacing"/>
              <w:rPr>
                <w:rFonts w:ascii="Times New Roman" w:hAnsi="Times New Roman"/>
                <w:sz w:val="26"/>
                <w:szCs w:val="26"/>
              </w:rPr>
            </w:pPr>
            <w:r w:rsidRPr="00E50F57">
              <w:rPr>
                <w:rFonts w:ascii="Times New Roman" w:hAnsi="Times New Roman"/>
                <w:sz w:val="26"/>
                <w:szCs w:val="26"/>
              </w:rPr>
              <w:t>Unit</w:t>
            </w:r>
          </w:p>
        </w:tc>
        <w:tc>
          <w:tcPr>
            <w:tcW w:w="8118" w:type="dxa"/>
            <w:tcBorders>
              <w:bottom w:val="double" w:sz="6" w:space="0" w:color="auto"/>
            </w:tcBorders>
          </w:tcPr>
          <w:p w14:paraId="06534AE9" w14:textId="42D75EDA" w:rsidR="00B37520" w:rsidRPr="009A437B" w:rsidRDefault="00C236D2" w:rsidP="001F3416">
            <w:pPr>
              <w:pStyle w:val="NoSpacing"/>
              <w:rPr>
                <w:rFonts w:ascii="Times New Roman" w:hAnsi="Times New Roman"/>
                <w:sz w:val="26"/>
                <w:szCs w:val="26"/>
              </w:rPr>
            </w:pPr>
            <w:r>
              <w:rPr>
                <w:rFonts w:ascii="Times New Roman" w:hAnsi="Times New Roman"/>
                <w:sz w:val="26"/>
              </w:rPr>
              <w:t xml:space="preserve">UI Hospital and Clinics </w:t>
            </w:r>
          </w:p>
        </w:tc>
      </w:tr>
      <w:tr w:rsidR="00B37520" w:rsidRPr="00E50F57" w14:paraId="4B1D37E2" w14:textId="77777777" w:rsidTr="00696A30">
        <w:tc>
          <w:tcPr>
            <w:tcW w:w="342" w:type="dxa"/>
            <w:tcBorders>
              <w:top w:val="double" w:sz="6" w:space="0" w:color="auto"/>
            </w:tcBorders>
          </w:tcPr>
          <w:p w14:paraId="3671A71A" w14:textId="77777777" w:rsidR="00B37520" w:rsidRPr="00E50F57" w:rsidRDefault="00B37520" w:rsidP="00E50F57">
            <w:pPr>
              <w:pStyle w:val="NoSpacing"/>
              <w:rPr>
                <w:rFonts w:ascii="Times New Roman" w:hAnsi="Times New Roman"/>
                <w:sz w:val="26"/>
                <w:szCs w:val="26"/>
              </w:rPr>
            </w:pPr>
          </w:p>
        </w:tc>
        <w:tc>
          <w:tcPr>
            <w:tcW w:w="990" w:type="dxa"/>
            <w:tcBorders>
              <w:top w:val="double" w:sz="6" w:space="0" w:color="auto"/>
            </w:tcBorders>
          </w:tcPr>
          <w:p w14:paraId="412453E2" w14:textId="77777777" w:rsidR="00B37520" w:rsidRPr="00E50F57" w:rsidRDefault="00B37520" w:rsidP="00E50F57">
            <w:pPr>
              <w:pStyle w:val="NoSpacing"/>
              <w:rPr>
                <w:rFonts w:ascii="Times New Roman" w:hAnsi="Times New Roman"/>
                <w:sz w:val="26"/>
                <w:szCs w:val="26"/>
              </w:rPr>
            </w:pPr>
          </w:p>
        </w:tc>
        <w:tc>
          <w:tcPr>
            <w:tcW w:w="8118" w:type="dxa"/>
            <w:tcBorders>
              <w:top w:val="double" w:sz="6" w:space="0" w:color="auto"/>
            </w:tcBorders>
          </w:tcPr>
          <w:p w14:paraId="29B2CADD" w14:textId="77777777" w:rsidR="00B37520" w:rsidRPr="009A437B" w:rsidRDefault="00B37520" w:rsidP="00E50F57">
            <w:pPr>
              <w:pStyle w:val="NoSpacing"/>
              <w:rPr>
                <w:rFonts w:ascii="Times New Roman" w:hAnsi="Times New Roman"/>
                <w:sz w:val="26"/>
                <w:szCs w:val="26"/>
              </w:rPr>
            </w:pPr>
          </w:p>
        </w:tc>
      </w:tr>
      <w:tr w:rsidR="00B37520" w:rsidRPr="00E50F57" w14:paraId="416D4B44" w14:textId="77777777" w:rsidTr="004F67F1">
        <w:trPr>
          <w:trHeight w:val="342"/>
        </w:trPr>
        <w:tc>
          <w:tcPr>
            <w:tcW w:w="342" w:type="dxa"/>
          </w:tcPr>
          <w:p w14:paraId="3AF5AA66" w14:textId="77777777" w:rsidR="00B37520" w:rsidRPr="00E50F57" w:rsidRDefault="00B37520" w:rsidP="00E50F57">
            <w:pPr>
              <w:pStyle w:val="NoSpacing"/>
              <w:rPr>
                <w:rFonts w:ascii="Times New Roman" w:hAnsi="Times New Roman"/>
                <w:sz w:val="26"/>
                <w:szCs w:val="26"/>
              </w:rPr>
            </w:pPr>
          </w:p>
        </w:tc>
        <w:tc>
          <w:tcPr>
            <w:tcW w:w="990" w:type="dxa"/>
          </w:tcPr>
          <w:p w14:paraId="7D96E7F6" w14:textId="77777777" w:rsidR="00B37520" w:rsidRPr="00E50F57" w:rsidRDefault="00B37520" w:rsidP="00E50F57">
            <w:pPr>
              <w:pStyle w:val="NoSpacing"/>
              <w:rPr>
                <w:rFonts w:ascii="Times New Roman" w:hAnsi="Times New Roman"/>
                <w:sz w:val="26"/>
                <w:szCs w:val="26"/>
              </w:rPr>
            </w:pPr>
            <w:r w:rsidRPr="00E50F57">
              <w:rPr>
                <w:rFonts w:ascii="Times New Roman" w:hAnsi="Times New Roman"/>
                <w:sz w:val="26"/>
                <w:szCs w:val="26"/>
              </w:rPr>
              <w:t>Item</w:t>
            </w:r>
          </w:p>
        </w:tc>
        <w:tc>
          <w:tcPr>
            <w:tcW w:w="8118" w:type="dxa"/>
          </w:tcPr>
          <w:p w14:paraId="214DD190" w14:textId="67AE0EF2" w:rsidR="00B37520" w:rsidRPr="009A437B" w:rsidRDefault="004F67F1" w:rsidP="00837CEB">
            <w:pPr>
              <w:pStyle w:val="NoSpacing"/>
              <w:jc w:val="both"/>
              <w:rPr>
                <w:rFonts w:ascii="Times New Roman" w:hAnsi="Times New Roman"/>
                <w:b/>
                <w:sz w:val="26"/>
                <w:szCs w:val="26"/>
              </w:rPr>
            </w:pPr>
            <w:r w:rsidRPr="004F67F1">
              <w:rPr>
                <w:rFonts w:ascii="Times New Roman" w:hAnsi="Times New Roman"/>
                <w:sz w:val="26"/>
                <w:szCs w:val="26"/>
              </w:rPr>
              <w:t>Purchase of Transfusion Medicine Services and Blood Components</w:t>
            </w:r>
          </w:p>
        </w:tc>
      </w:tr>
      <w:tr w:rsidR="00B37520" w:rsidRPr="00E50F57" w14:paraId="6BA47E4F" w14:textId="77777777" w:rsidTr="00696A30">
        <w:trPr>
          <w:trHeight w:val="315"/>
        </w:trPr>
        <w:tc>
          <w:tcPr>
            <w:tcW w:w="342" w:type="dxa"/>
          </w:tcPr>
          <w:p w14:paraId="18ED5442" w14:textId="77777777" w:rsidR="00B37520" w:rsidRPr="00E50F57" w:rsidRDefault="00B37520" w:rsidP="00E50F57">
            <w:pPr>
              <w:pStyle w:val="NoSpacing"/>
              <w:rPr>
                <w:rFonts w:ascii="Times New Roman" w:hAnsi="Times New Roman"/>
                <w:sz w:val="26"/>
                <w:szCs w:val="26"/>
              </w:rPr>
            </w:pPr>
          </w:p>
        </w:tc>
        <w:tc>
          <w:tcPr>
            <w:tcW w:w="990" w:type="dxa"/>
          </w:tcPr>
          <w:p w14:paraId="63C638AC" w14:textId="77777777" w:rsidR="00B37520" w:rsidRPr="00E50F57" w:rsidRDefault="00B37520" w:rsidP="00E50F57">
            <w:pPr>
              <w:pStyle w:val="NoSpacing"/>
              <w:rPr>
                <w:rFonts w:ascii="Times New Roman" w:hAnsi="Times New Roman"/>
                <w:sz w:val="26"/>
                <w:szCs w:val="26"/>
              </w:rPr>
            </w:pPr>
          </w:p>
          <w:p w14:paraId="46791060" w14:textId="77777777" w:rsidR="00B37520" w:rsidRPr="00E50F57" w:rsidRDefault="00B37520" w:rsidP="00E50F57">
            <w:pPr>
              <w:pStyle w:val="NoSpacing"/>
              <w:rPr>
                <w:rFonts w:ascii="Times New Roman" w:hAnsi="Times New Roman"/>
                <w:sz w:val="26"/>
                <w:szCs w:val="26"/>
              </w:rPr>
            </w:pPr>
            <w:r w:rsidRPr="00E50F57">
              <w:rPr>
                <w:rFonts w:ascii="Times New Roman" w:hAnsi="Times New Roman"/>
                <w:sz w:val="26"/>
                <w:szCs w:val="26"/>
              </w:rPr>
              <w:t>Cost</w:t>
            </w:r>
          </w:p>
        </w:tc>
        <w:tc>
          <w:tcPr>
            <w:tcW w:w="8118" w:type="dxa"/>
          </w:tcPr>
          <w:p w14:paraId="2D761050" w14:textId="77777777" w:rsidR="00B37520" w:rsidRPr="009A437B" w:rsidRDefault="00B37520" w:rsidP="00E50F57">
            <w:pPr>
              <w:pStyle w:val="NoSpacing"/>
              <w:rPr>
                <w:rFonts w:ascii="Times New Roman" w:hAnsi="Times New Roman"/>
                <w:sz w:val="26"/>
                <w:szCs w:val="26"/>
              </w:rPr>
            </w:pPr>
          </w:p>
          <w:p w14:paraId="255C93F2" w14:textId="58BB742D" w:rsidR="003947FA" w:rsidRPr="009A437B" w:rsidRDefault="00FB766B" w:rsidP="004F67F1">
            <w:pPr>
              <w:pStyle w:val="NoSpacing"/>
              <w:rPr>
                <w:rFonts w:ascii="Times New Roman" w:hAnsi="Times New Roman"/>
                <w:sz w:val="26"/>
                <w:szCs w:val="26"/>
              </w:rPr>
            </w:pPr>
            <w:r w:rsidRPr="009A437B">
              <w:rPr>
                <w:rFonts w:ascii="Times New Roman" w:hAnsi="Times New Roman"/>
                <w:sz w:val="26"/>
                <w:szCs w:val="26"/>
              </w:rPr>
              <w:t>$</w:t>
            </w:r>
            <w:r w:rsidR="003947FA" w:rsidRPr="009A437B">
              <w:rPr>
                <w:rFonts w:ascii="Times New Roman" w:hAnsi="Times New Roman"/>
                <w:sz w:val="26"/>
                <w:szCs w:val="26"/>
              </w:rPr>
              <w:t>5</w:t>
            </w:r>
            <w:r w:rsidR="004F67F1">
              <w:rPr>
                <w:rFonts w:ascii="Times New Roman" w:hAnsi="Times New Roman"/>
                <w:sz w:val="26"/>
                <w:szCs w:val="26"/>
              </w:rPr>
              <w:t>5,000,000</w:t>
            </w:r>
            <w:r w:rsidR="00837CEB" w:rsidRPr="009A437B">
              <w:rPr>
                <w:rFonts w:ascii="Times New Roman" w:hAnsi="Times New Roman"/>
                <w:sz w:val="26"/>
                <w:szCs w:val="26"/>
              </w:rPr>
              <w:t xml:space="preserve"> (estimated)</w:t>
            </w:r>
          </w:p>
        </w:tc>
      </w:tr>
      <w:tr w:rsidR="00B37520" w:rsidRPr="00E50F57" w14:paraId="574C4BC4" w14:textId="77777777" w:rsidTr="00696A30">
        <w:trPr>
          <w:trHeight w:val="150"/>
        </w:trPr>
        <w:tc>
          <w:tcPr>
            <w:tcW w:w="342" w:type="dxa"/>
          </w:tcPr>
          <w:p w14:paraId="208E7CE9" w14:textId="77777777" w:rsidR="00B37520" w:rsidRPr="00E50F57" w:rsidRDefault="00B37520" w:rsidP="00E50F57">
            <w:pPr>
              <w:pStyle w:val="NoSpacing"/>
              <w:rPr>
                <w:rFonts w:ascii="Times New Roman" w:hAnsi="Times New Roman"/>
                <w:sz w:val="26"/>
                <w:szCs w:val="26"/>
              </w:rPr>
            </w:pPr>
          </w:p>
        </w:tc>
        <w:tc>
          <w:tcPr>
            <w:tcW w:w="990" w:type="dxa"/>
            <w:shd w:val="clear" w:color="auto" w:fill="auto"/>
          </w:tcPr>
          <w:p w14:paraId="155AB2D1" w14:textId="77777777" w:rsidR="00B37520" w:rsidRPr="00E50F57" w:rsidRDefault="00B37520" w:rsidP="00E50F57">
            <w:pPr>
              <w:pStyle w:val="NoSpacing"/>
              <w:rPr>
                <w:rFonts w:ascii="Times New Roman" w:hAnsi="Times New Roman"/>
                <w:sz w:val="26"/>
                <w:szCs w:val="26"/>
              </w:rPr>
            </w:pPr>
          </w:p>
          <w:p w14:paraId="538AA9EE" w14:textId="77777777" w:rsidR="00B37520" w:rsidRPr="00E50F57" w:rsidRDefault="00B37520" w:rsidP="00E50F57">
            <w:pPr>
              <w:pStyle w:val="NoSpacing"/>
              <w:rPr>
                <w:rFonts w:ascii="Times New Roman" w:hAnsi="Times New Roman"/>
                <w:sz w:val="26"/>
                <w:szCs w:val="26"/>
              </w:rPr>
            </w:pPr>
            <w:r w:rsidRPr="00E50F57">
              <w:rPr>
                <w:rFonts w:ascii="Times New Roman" w:hAnsi="Times New Roman"/>
                <w:sz w:val="26"/>
                <w:szCs w:val="26"/>
              </w:rPr>
              <w:t>Vendor</w:t>
            </w:r>
          </w:p>
        </w:tc>
        <w:tc>
          <w:tcPr>
            <w:tcW w:w="8118" w:type="dxa"/>
            <w:shd w:val="clear" w:color="auto" w:fill="auto"/>
          </w:tcPr>
          <w:p w14:paraId="09A5FD89" w14:textId="77777777" w:rsidR="00B37520" w:rsidRPr="00837CEB" w:rsidRDefault="00B37520" w:rsidP="005B43B5">
            <w:pPr>
              <w:pStyle w:val="NoSpacing"/>
              <w:jc w:val="both"/>
              <w:rPr>
                <w:rFonts w:ascii="Times New Roman" w:hAnsi="Times New Roman"/>
                <w:sz w:val="26"/>
                <w:szCs w:val="26"/>
              </w:rPr>
            </w:pPr>
          </w:p>
          <w:p w14:paraId="4C9BAD6A" w14:textId="6DA19CAA" w:rsidR="003947FA" w:rsidRDefault="004F67F1" w:rsidP="005B43B5">
            <w:pPr>
              <w:pStyle w:val="NoSpacing"/>
              <w:jc w:val="both"/>
              <w:rPr>
                <w:rFonts w:ascii="Times New Roman" w:hAnsi="Times New Roman"/>
                <w:bCs/>
                <w:sz w:val="26"/>
                <w:szCs w:val="26"/>
              </w:rPr>
            </w:pPr>
            <w:proofErr w:type="spellStart"/>
            <w:r w:rsidRPr="004F67F1">
              <w:rPr>
                <w:rFonts w:ascii="Times New Roman" w:hAnsi="Times New Roman"/>
                <w:bCs/>
                <w:sz w:val="26"/>
                <w:szCs w:val="26"/>
              </w:rPr>
              <w:t>Vitalant</w:t>
            </w:r>
            <w:proofErr w:type="spellEnd"/>
            <w:r w:rsidRPr="004F67F1">
              <w:rPr>
                <w:rFonts w:ascii="Times New Roman" w:hAnsi="Times New Roman"/>
                <w:bCs/>
                <w:sz w:val="26"/>
                <w:szCs w:val="26"/>
              </w:rPr>
              <w:t xml:space="preserve">                                              </w:t>
            </w:r>
            <w:r>
              <w:rPr>
                <w:rFonts w:ascii="Times New Roman" w:hAnsi="Times New Roman"/>
                <w:bCs/>
                <w:sz w:val="26"/>
                <w:szCs w:val="26"/>
              </w:rPr>
              <w:t xml:space="preserve">                                </w:t>
            </w:r>
            <w:r w:rsidRPr="004F67F1">
              <w:rPr>
                <w:rFonts w:ascii="Times New Roman" w:hAnsi="Times New Roman"/>
                <w:bCs/>
                <w:sz w:val="26"/>
                <w:szCs w:val="26"/>
              </w:rPr>
              <w:t>Scottsdale, Arizona</w:t>
            </w:r>
          </w:p>
          <w:p w14:paraId="3E59B392" w14:textId="77777777" w:rsidR="004F67F1" w:rsidRPr="00837CEB" w:rsidRDefault="004F67F1" w:rsidP="005B43B5">
            <w:pPr>
              <w:pStyle w:val="NoSpacing"/>
              <w:jc w:val="both"/>
              <w:rPr>
                <w:rFonts w:ascii="Times New Roman" w:hAnsi="Times New Roman"/>
                <w:sz w:val="26"/>
                <w:szCs w:val="26"/>
              </w:rPr>
            </w:pPr>
          </w:p>
          <w:p w14:paraId="72DDA69A" w14:textId="77777777" w:rsidR="004F67F1" w:rsidRPr="004F67F1" w:rsidRDefault="004F67F1" w:rsidP="005B43B5">
            <w:pPr>
              <w:spacing w:after="0" w:line="240" w:lineRule="auto"/>
              <w:jc w:val="both"/>
              <w:rPr>
                <w:rFonts w:ascii="Times New Roman" w:eastAsia="Times New Roman" w:hAnsi="Times New Roman"/>
                <w:sz w:val="26"/>
                <w:szCs w:val="26"/>
              </w:rPr>
            </w:pPr>
            <w:r w:rsidRPr="004F67F1">
              <w:rPr>
                <w:rFonts w:ascii="Times New Roman" w:eastAsia="Times New Roman" w:hAnsi="Times New Roman"/>
                <w:sz w:val="26"/>
                <w:szCs w:val="26"/>
              </w:rPr>
              <w:lastRenderedPageBreak/>
              <w:t>Exempt from competitive selection procedures in accordance with the Illinois Procurement Code (30ILCS 500/1-13).</w:t>
            </w:r>
          </w:p>
          <w:p w14:paraId="3CC41DF9" w14:textId="77777777" w:rsidR="003947FA" w:rsidRPr="003947FA" w:rsidRDefault="003947FA" w:rsidP="005B43B5">
            <w:pPr>
              <w:spacing w:after="0" w:line="240" w:lineRule="auto"/>
              <w:jc w:val="both"/>
              <w:rPr>
                <w:rFonts w:ascii="Times New Roman" w:eastAsia="Times New Roman" w:hAnsi="Times New Roman"/>
                <w:sz w:val="26"/>
                <w:szCs w:val="26"/>
              </w:rPr>
            </w:pPr>
          </w:p>
          <w:p w14:paraId="7A16ED66" w14:textId="707F56A4" w:rsidR="004F67F1" w:rsidRPr="004F67F1" w:rsidRDefault="004F67F1" w:rsidP="005B43B5">
            <w:pPr>
              <w:pStyle w:val="NoSpacing"/>
              <w:jc w:val="both"/>
              <w:rPr>
                <w:rFonts w:ascii="Times New Roman" w:hAnsi="Times New Roman"/>
                <w:sz w:val="26"/>
                <w:szCs w:val="26"/>
              </w:rPr>
            </w:pPr>
            <w:r w:rsidRPr="004F67F1">
              <w:rPr>
                <w:rFonts w:ascii="Times New Roman" w:hAnsi="Times New Roman"/>
                <w:sz w:val="26"/>
                <w:szCs w:val="26"/>
              </w:rPr>
              <w:t xml:space="preserve">Transfusion medicine services, including blood bank storage, laboratory and therapeutic apheresis, are critical for a healthcare institution which provides stem cell transplant, solid organ transplant, obstetrics and fetal/maternal medicine, and other surgical and critical care medical services.    Therapeutic apheresis services are used in the treatment of sickle cell and other hematologic diseases, neurologic diseases, rejection of renal transplant and preparation for transplant in previously </w:t>
            </w:r>
            <w:proofErr w:type="spellStart"/>
            <w:r w:rsidRPr="004F67F1">
              <w:rPr>
                <w:rFonts w:ascii="Times New Roman" w:hAnsi="Times New Roman"/>
                <w:sz w:val="26"/>
                <w:szCs w:val="26"/>
              </w:rPr>
              <w:t>alloimmunized</w:t>
            </w:r>
            <w:proofErr w:type="spellEnd"/>
            <w:r w:rsidRPr="004F67F1">
              <w:rPr>
                <w:rFonts w:ascii="Times New Roman" w:hAnsi="Times New Roman"/>
                <w:sz w:val="26"/>
                <w:szCs w:val="26"/>
              </w:rPr>
              <w:t xml:space="preserve"> patients, and for obtaining hematopoietic progenitor cells for transplant.  </w:t>
            </w:r>
          </w:p>
          <w:p w14:paraId="5C9E4B41" w14:textId="77777777" w:rsidR="004F67F1" w:rsidRPr="004F67F1" w:rsidRDefault="004F67F1" w:rsidP="005B43B5">
            <w:pPr>
              <w:pStyle w:val="NoSpacing"/>
              <w:jc w:val="both"/>
              <w:rPr>
                <w:rFonts w:ascii="Times New Roman" w:hAnsi="Times New Roman"/>
                <w:sz w:val="26"/>
                <w:szCs w:val="26"/>
              </w:rPr>
            </w:pPr>
          </w:p>
          <w:p w14:paraId="3FB9D75A" w14:textId="77777777" w:rsidR="004F67F1" w:rsidRPr="004F67F1" w:rsidRDefault="004F67F1" w:rsidP="005B43B5">
            <w:pPr>
              <w:pStyle w:val="NoSpacing"/>
              <w:jc w:val="both"/>
              <w:rPr>
                <w:rFonts w:ascii="Times New Roman" w:hAnsi="Times New Roman"/>
                <w:sz w:val="26"/>
                <w:szCs w:val="26"/>
              </w:rPr>
            </w:pPr>
            <w:r w:rsidRPr="004F67F1">
              <w:rPr>
                <w:rFonts w:ascii="Times New Roman" w:hAnsi="Times New Roman"/>
                <w:sz w:val="26"/>
                <w:szCs w:val="26"/>
              </w:rPr>
              <w:t xml:space="preserve">Blood transfusion is the most commonly performed procedure in U.S. hospitals.  In fiscal 2021, UI Hospital transfused a total of 24,845 total blood components and a total of 1,378 apheresis treatments.  Nationwide, the demand for blood products remains very high while the donation of blood and blood products are reaching all-time lows.  </w:t>
            </w:r>
          </w:p>
          <w:p w14:paraId="57877042" w14:textId="77777777" w:rsidR="004F67F1" w:rsidRPr="004F67F1" w:rsidRDefault="004F67F1" w:rsidP="005B43B5">
            <w:pPr>
              <w:pStyle w:val="NoSpacing"/>
              <w:jc w:val="both"/>
              <w:rPr>
                <w:rFonts w:ascii="Times New Roman" w:hAnsi="Times New Roman"/>
                <w:sz w:val="26"/>
                <w:szCs w:val="26"/>
              </w:rPr>
            </w:pPr>
          </w:p>
          <w:p w14:paraId="01EA88A5" w14:textId="77777777" w:rsidR="004F67F1" w:rsidRPr="004F67F1" w:rsidRDefault="004F67F1" w:rsidP="005B43B5">
            <w:pPr>
              <w:pStyle w:val="NoSpacing"/>
              <w:jc w:val="both"/>
              <w:rPr>
                <w:rFonts w:ascii="Times New Roman" w:hAnsi="Times New Roman"/>
                <w:bCs/>
                <w:sz w:val="26"/>
                <w:szCs w:val="26"/>
              </w:rPr>
            </w:pPr>
            <w:proofErr w:type="spellStart"/>
            <w:r w:rsidRPr="004F67F1">
              <w:rPr>
                <w:rFonts w:ascii="Times New Roman" w:hAnsi="Times New Roman"/>
                <w:bCs/>
                <w:sz w:val="26"/>
                <w:szCs w:val="26"/>
              </w:rPr>
              <w:t>Vitalant</w:t>
            </w:r>
            <w:proofErr w:type="spellEnd"/>
            <w:r w:rsidRPr="004F67F1">
              <w:rPr>
                <w:rFonts w:ascii="Times New Roman" w:hAnsi="Times New Roman"/>
                <w:bCs/>
                <w:sz w:val="26"/>
                <w:szCs w:val="26"/>
              </w:rPr>
              <w:t xml:space="preserve"> has been providing services to UI Hospital since 2014, and has been able to meet our needs regardless of national and local blood donor shortages.  They are the only organization that provides both blood components and transfusion-related services in the Chicago area.  In addition, they provide and manage these services on-site in order to provide blood components timely to patients in the Hospital, Emergency Department and Surgery.  Currently, the Hospital spends approximately $821,000 per month on transfusion medicine services.  The cost of the blood products and associated services from </w:t>
            </w:r>
            <w:proofErr w:type="spellStart"/>
            <w:r w:rsidRPr="004F67F1">
              <w:rPr>
                <w:rFonts w:ascii="Times New Roman" w:hAnsi="Times New Roman"/>
                <w:bCs/>
                <w:sz w:val="26"/>
                <w:szCs w:val="26"/>
              </w:rPr>
              <w:t>Vitalant</w:t>
            </w:r>
            <w:proofErr w:type="spellEnd"/>
            <w:r w:rsidRPr="004F67F1">
              <w:rPr>
                <w:rFonts w:ascii="Times New Roman" w:hAnsi="Times New Roman"/>
                <w:bCs/>
                <w:sz w:val="26"/>
                <w:szCs w:val="26"/>
              </w:rPr>
              <w:t xml:space="preserve"> was negotiated and vetted with our group purchasing organization and found to be comparative.</w:t>
            </w:r>
          </w:p>
          <w:p w14:paraId="1D88CE4D" w14:textId="77777777" w:rsidR="004F67F1" w:rsidRPr="004F67F1" w:rsidRDefault="004F67F1" w:rsidP="005B43B5">
            <w:pPr>
              <w:pStyle w:val="NoSpacing"/>
              <w:jc w:val="both"/>
              <w:rPr>
                <w:rFonts w:ascii="Times New Roman" w:hAnsi="Times New Roman"/>
                <w:bCs/>
                <w:sz w:val="26"/>
                <w:szCs w:val="26"/>
              </w:rPr>
            </w:pPr>
          </w:p>
          <w:p w14:paraId="245F27D5" w14:textId="77777777" w:rsidR="004F67F1" w:rsidRPr="004F67F1" w:rsidRDefault="004F67F1" w:rsidP="005B43B5">
            <w:pPr>
              <w:pStyle w:val="NoSpacing"/>
              <w:jc w:val="both"/>
              <w:rPr>
                <w:rFonts w:ascii="Times New Roman" w:hAnsi="Times New Roman"/>
                <w:sz w:val="26"/>
                <w:szCs w:val="26"/>
              </w:rPr>
            </w:pPr>
            <w:r w:rsidRPr="004F67F1">
              <w:rPr>
                <w:rFonts w:ascii="Times New Roman" w:hAnsi="Times New Roman"/>
                <w:sz w:val="26"/>
                <w:szCs w:val="26"/>
              </w:rPr>
              <w:t xml:space="preserve">Business Enterprise Program (BEP) goals are not established for contracts which are exempt from the requirements of the IL Procurement Code.            </w:t>
            </w:r>
          </w:p>
          <w:p w14:paraId="4CF5C200" w14:textId="13350BA8" w:rsidR="00340BA4" w:rsidRDefault="00340BA4" w:rsidP="005B43B5">
            <w:pPr>
              <w:pStyle w:val="NoSpacing"/>
              <w:jc w:val="both"/>
              <w:rPr>
                <w:rFonts w:ascii="Times New Roman" w:hAnsi="Times New Roman"/>
                <w:sz w:val="26"/>
                <w:szCs w:val="26"/>
              </w:rPr>
            </w:pPr>
          </w:p>
          <w:p w14:paraId="750CF8FB" w14:textId="77777777" w:rsidR="00720521" w:rsidRDefault="00720521" w:rsidP="005B43B5">
            <w:pPr>
              <w:pStyle w:val="NoSpacing"/>
              <w:jc w:val="both"/>
              <w:rPr>
                <w:rFonts w:ascii="Times New Roman" w:hAnsi="Times New Roman"/>
                <w:sz w:val="26"/>
                <w:szCs w:val="26"/>
              </w:rPr>
            </w:pPr>
          </w:p>
          <w:p w14:paraId="2970612A" w14:textId="541F39B5" w:rsidR="00340BA4" w:rsidRPr="00837CEB" w:rsidRDefault="00340BA4" w:rsidP="005B43B5">
            <w:pPr>
              <w:pStyle w:val="NoSpacing"/>
              <w:jc w:val="both"/>
              <w:rPr>
                <w:rFonts w:ascii="Times New Roman" w:hAnsi="Times New Roman"/>
                <w:sz w:val="26"/>
                <w:szCs w:val="26"/>
              </w:rPr>
            </w:pPr>
          </w:p>
        </w:tc>
      </w:tr>
      <w:tr w:rsidR="00B37520" w:rsidRPr="00F376EB" w14:paraId="7BD69A8E" w14:textId="77777777" w:rsidTr="00696A30">
        <w:trPr>
          <w:trHeight w:val="150"/>
        </w:trPr>
        <w:tc>
          <w:tcPr>
            <w:tcW w:w="342" w:type="dxa"/>
          </w:tcPr>
          <w:p w14:paraId="4E365A17" w14:textId="77777777" w:rsidR="00B37520" w:rsidRPr="003947FA" w:rsidRDefault="00B37520" w:rsidP="00837CEB">
            <w:pPr>
              <w:pStyle w:val="NoSpacing"/>
              <w:jc w:val="both"/>
              <w:rPr>
                <w:rFonts w:ascii="Times New Roman" w:hAnsi="Times New Roman"/>
                <w:color w:val="FF0000"/>
                <w:sz w:val="26"/>
                <w:szCs w:val="26"/>
              </w:rPr>
            </w:pPr>
          </w:p>
        </w:tc>
        <w:tc>
          <w:tcPr>
            <w:tcW w:w="990" w:type="dxa"/>
            <w:shd w:val="clear" w:color="auto" w:fill="auto"/>
          </w:tcPr>
          <w:p w14:paraId="09F39B03" w14:textId="61F3842E" w:rsidR="00B37520" w:rsidRPr="003947FA" w:rsidRDefault="00B37520" w:rsidP="00837CEB">
            <w:pPr>
              <w:pStyle w:val="NoSpacing"/>
              <w:jc w:val="both"/>
              <w:rPr>
                <w:rFonts w:ascii="Times New Roman" w:hAnsi="Times New Roman"/>
                <w:color w:val="FF0000"/>
                <w:sz w:val="26"/>
                <w:szCs w:val="26"/>
              </w:rPr>
            </w:pPr>
          </w:p>
        </w:tc>
        <w:tc>
          <w:tcPr>
            <w:tcW w:w="8118" w:type="dxa"/>
            <w:shd w:val="clear" w:color="auto" w:fill="auto"/>
          </w:tcPr>
          <w:p w14:paraId="296CF3FC" w14:textId="7E868190" w:rsidR="00EF5BC7" w:rsidRPr="009412F7" w:rsidRDefault="00EF5BC7" w:rsidP="00EF5BC7">
            <w:pPr>
              <w:pStyle w:val="NoSpacing"/>
              <w:rPr>
                <w:rFonts w:ascii="Times New Roman" w:hAnsi="Times New Roman"/>
                <w:b/>
                <w:sz w:val="26"/>
                <w:szCs w:val="26"/>
              </w:rPr>
            </w:pPr>
            <w:r>
              <w:rPr>
                <w:rFonts w:ascii="Times New Roman" w:hAnsi="Times New Roman"/>
                <w:b/>
                <w:sz w:val="26"/>
                <w:szCs w:val="26"/>
              </w:rPr>
              <w:t xml:space="preserve">                 </w:t>
            </w:r>
            <w:r w:rsidRPr="009412F7">
              <w:rPr>
                <w:rFonts w:ascii="Times New Roman" w:hAnsi="Times New Roman"/>
                <w:b/>
                <w:sz w:val="26"/>
                <w:szCs w:val="26"/>
              </w:rPr>
              <w:t>CHANGE ORDER RECOMMENDED</w:t>
            </w:r>
          </w:p>
          <w:p w14:paraId="672B1BCE" w14:textId="300AA73D" w:rsidR="002D28AA" w:rsidRPr="003947FA" w:rsidRDefault="002D28AA" w:rsidP="00837CEB">
            <w:pPr>
              <w:pStyle w:val="NoSpacing"/>
              <w:ind w:left="720"/>
              <w:jc w:val="both"/>
              <w:rPr>
                <w:rFonts w:ascii="Times New Roman" w:hAnsi="Times New Roman"/>
                <w:color w:val="FF0000"/>
                <w:sz w:val="26"/>
                <w:szCs w:val="26"/>
              </w:rPr>
            </w:pPr>
          </w:p>
        </w:tc>
      </w:tr>
      <w:tr w:rsidR="002D28AA" w:rsidRPr="00E50F57" w14:paraId="41B7616E" w14:textId="77777777" w:rsidTr="000E1716">
        <w:trPr>
          <w:trHeight w:val="150"/>
        </w:trPr>
        <w:tc>
          <w:tcPr>
            <w:tcW w:w="342" w:type="dxa"/>
          </w:tcPr>
          <w:p w14:paraId="0DF43336" w14:textId="77777777" w:rsidR="002D28AA" w:rsidRPr="00E50F57" w:rsidRDefault="002D28AA" w:rsidP="002D28AA">
            <w:pPr>
              <w:spacing w:after="0" w:line="240" w:lineRule="auto"/>
              <w:rPr>
                <w:rFonts w:ascii="Times New Roman" w:hAnsi="Times New Roman"/>
                <w:sz w:val="26"/>
                <w:szCs w:val="26"/>
              </w:rPr>
            </w:pPr>
          </w:p>
        </w:tc>
        <w:tc>
          <w:tcPr>
            <w:tcW w:w="990" w:type="dxa"/>
            <w:shd w:val="clear" w:color="auto" w:fill="auto"/>
          </w:tcPr>
          <w:p w14:paraId="6C5D5264" w14:textId="77777777" w:rsidR="002D28AA" w:rsidRPr="00E50F57" w:rsidRDefault="002D28AA" w:rsidP="000E1716">
            <w:pPr>
              <w:pStyle w:val="NoSpacing"/>
              <w:rPr>
                <w:rFonts w:ascii="Times New Roman" w:hAnsi="Times New Roman"/>
                <w:sz w:val="26"/>
                <w:szCs w:val="26"/>
              </w:rPr>
            </w:pPr>
          </w:p>
        </w:tc>
        <w:tc>
          <w:tcPr>
            <w:tcW w:w="8118" w:type="dxa"/>
            <w:shd w:val="clear" w:color="auto" w:fill="auto"/>
          </w:tcPr>
          <w:p w14:paraId="532EB3DF" w14:textId="4830E9A6" w:rsidR="002D28AA" w:rsidRPr="00E50F57" w:rsidRDefault="002D28AA" w:rsidP="000E1716">
            <w:pPr>
              <w:pStyle w:val="NoSpacing"/>
              <w:rPr>
                <w:rFonts w:ascii="Times New Roman" w:hAnsi="Times New Roman"/>
                <w:sz w:val="26"/>
                <w:szCs w:val="26"/>
              </w:rPr>
            </w:pPr>
          </w:p>
        </w:tc>
      </w:tr>
    </w:tbl>
    <w:tbl>
      <w:tblPr>
        <w:tblpPr w:leftFromText="180" w:rightFromText="180" w:vertAnchor="text" w:tblpY="1"/>
        <w:tblOverlap w:val="never"/>
        <w:tblW w:w="9454" w:type="dxa"/>
        <w:tblLayout w:type="fixed"/>
        <w:tblCellMar>
          <w:left w:w="43" w:type="dxa"/>
          <w:right w:w="43" w:type="dxa"/>
        </w:tblCellMar>
        <w:tblLook w:val="0000" w:firstRow="0" w:lastRow="0" w:firstColumn="0" w:lastColumn="0" w:noHBand="0" w:noVBand="0"/>
      </w:tblPr>
      <w:tblGrid>
        <w:gridCol w:w="9454"/>
      </w:tblGrid>
      <w:tr w:rsidR="002D28AA" w:rsidRPr="00B212DC" w14:paraId="161F98E6" w14:textId="77777777" w:rsidTr="000E1716">
        <w:trPr>
          <w:trHeight w:val="114"/>
        </w:trPr>
        <w:tc>
          <w:tcPr>
            <w:tcW w:w="9454" w:type="dxa"/>
            <w:tcBorders>
              <w:top w:val="single" w:sz="18" w:space="0" w:color="auto"/>
              <w:bottom w:val="single" w:sz="18" w:space="0" w:color="auto"/>
            </w:tcBorders>
          </w:tcPr>
          <w:p w14:paraId="33531A2A" w14:textId="4EF9AFBB" w:rsidR="002D28AA" w:rsidRPr="00B212DC" w:rsidRDefault="002D28AA" w:rsidP="00E612F0">
            <w:pPr>
              <w:tabs>
                <w:tab w:val="left" w:pos="-720"/>
                <w:tab w:val="left" w:pos="9090"/>
              </w:tabs>
              <w:suppressAutoHyphens/>
              <w:overflowPunct w:val="0"/>
              <w:autoSpaceDE w:val="0"/>
              <w:autoSpaceDN w:val="0"/>
              <w:adjustRightInd w:val="0"/>
              <w:spacing w:after="0" w:line="240" w:lineRule="auto"/>
              <w:jc w:val="center"/>
              <w:textAlignment w:val="baseline"/>
              <w:rPr>
                <w:rFonts w:ascii="Times New Roman" w:eastAsia="Times New Roman" w:hAnsi="Times New Roman"/>
                <w:b/>
                <w:sz w:val="26"/>
                <w:szCs w:val="26"/>
              </w:rPr>
            </w:pPr>
            <w:r>
              <w:rPr>
                <w:rFonts w:ascii="Times New Roman" w:eastAsia="Times New Roman" w:hAnsi="Times New Roman"/>
                <w:b/>
                <w:sz w:val="26"/>
                <w:szCs w:val="26"/>
              </w:rPr>
              <w:t xml:space="preserve">University of Illinois at </w:t>
            </w:r>
            <w:r w:rsidR="00EF5BC7">
              <w:rPr>
                <w:rFonts w:ascii="Times New Roman" w:eastAsia="Times New Roman" w:hAnsi="Times New Roman"/>
                <w:b/>
                <w:sz w:val="26"/>
                <w:szCs w:val="26"/>
              </w:rPr>
              <w:t>Urbana-Champaign</w:t>
            </w:r>
          </w:p>
        </w:tc>
      </w:tr>
    </w:tbl>
    <w:p w14:paraId="553968A6" w14:textId="77777777" w:rsidR="002D28AA" w:rsidRDefault="002D28AA" w:rsidP="002D28AA">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p>
    <w:tbl>
      <w:tblPr>
        <w:tblW w:w="9450" w:type="dxa"/>
        <w:tblLayout w:type="fixed"/>
        <w:tblCellMar>
          <w:left w:w="72" w:type="dxa"/>
          <w:right w:w="72" w:type="dxa"/>
        </w:tblCellMar>
        <w:tblLook w:val="0000" w:firstRow="0" w:lastRow="0" w:firstColumn="0" w:lastColumn="0" w:noHBand="0" w:noVBand="0"/>
      </w:tblPr>
      <w:tblGrid>
        <w:gridCol w:w="342"/>
        <w:gridCol w:w="990"/>
        <w:gridCol w:w="8118"/>
      </w:tblGrid>
      <w:tr w:rsidR="002D28AA" w:rsidRPr="009A437B" w14:paraId="612578FA" w14:textId="77777777" w:rsidTr="000E1716">
        <w:trPr>
          <w:trHeight w:val="120"/>
        </w:trPr>
        <w:tc>
          <w:tcPr>
            <w:tcW w:w="342" w:type="dxa"/>
            <w:tcBorders>
              <w:bottom w:val="double" w:sz="6" w:space="0" w:color="auto"/>
            </w:tcBorders>
          </w:tcPr>
          <w:p w14:paraId="167091E2" w14:textId="1D5498CE" w:rsidR="002D28AA" w:rsidRPr="009A437B" w:rsidRDefault="00D60019" w:rsidP="000E1716">
            <w:pPr>
              <w:pStyle w:val="NoSpacing"/>
              <w:rPr>
                <w:rFonts w:ascii="Times New Roman" w:hAnsi="Times New Roman"/>
                <w:sz w:val="26"/>
                <w:szCs w:val="26"/>
              </w:rPr>
            </w:pPr>
            <w:r>
              <w:rPr>
                <w:rFonts w:ascii="Times New Roman" w:hAnsi="Times New Roman"/>
                <w:sz w:val="26"/>
                <w:szCs w:val="26"/>
              </w:rPr>
              <w:t>2</w:t>
            </w:r>
          </w:p>
        </w:tc>
        <w:tc>
          <w:tcPr>
            <w:tcW w:w="990" w:type="dxa"/>
            <w:tcBorders>
              <w:bottom w:val="double" w:sz="6" w:space="0" w:color="auto"/>
            </w:tcBorders>
          </w:tcPr>
          <w:p w14:paraId="77993BF4" w14:textId="77777777" w:rsidR="002D28AA" w:rsidRPr="009A437B" w:rsidRDefault="002D28AA" w:rsidP="000E1716">
            <w:pPr>
              <w:pStyle w:val="NoSpacing"/>
              <w:rPr>
                <w:rFonts w:ascii="Times New Roman" w:hAnsi="Times New Roman"/>
                <w:sz w:val="26"/>
                <w:szCs w:val="26"/>
              </w:rPr>
            </w:pPr>
            <w:r w:rsidRPr="009A437B">
              <w:rPr>
                <w:rFonts w:ascii="Times New Roman" w:hAnsi="Times New Roman"/>
                <w:sz w:val="26"/>
                <w:szCs w:val="26"/>
              </w:rPr>
              <w:t>Unit</w:t>
            </w:r>
          </w:p>
        </w:tc>
        <w:tc>
          <w:tcPr>
            <w:tcW w:w="8118" w:type="dxa"/>
            <w:tcBorders>
              <w:bottom w:val="double" w:sz="6" w:space="0" w:color="auto"/>
            </w:tcBorders>
          </w:tcPr>
          <w:p w14:paraId="4C9DE9F7" w14:textId="5C56DCF3" w:rsidR="002D28AA" w:rsidRPr="009A437B" w:rsidRDefault="001B509E" w:rsidP="000E1716">
            <w:pPr>
              <w:pStyle w:val="NoSpacing"/>
              <w:rPr>
                <w:rFonts w:ascii="Times New Roman" w:hAnsi="Times New Roman"/>
                <w:sz w:val="26"/>
                <w:szCs w:val="26"/>
              </w:rPr>
            </w:pPr>
            <w:r w:rsidRPr="001B509E">
              <w:rPr>
                <w:rFonts w:ascii="Times New Roman" w:hAnsi="Times New Roman"/>
                <w:spacing w:val="-3"/>
                <w:sz w:val="26"/>
                <w:szCs w:val="26"/>
              </w:rPr>
              <w:t>Office of the Provost</w:t>
            </w:r>
          </w:p>
        </w:tc>
      </w:tr>
      <w:tr w:rsidR="002D28AA" w:rsidRPr="009A437B" w14:paraId="0253D69D" w14:textId="77777777" w:rsidTr="000E1716">
        <w:tc>
          <w:tcPr>
            <w:tcW w:w="342" w:type="dxa"/>
            <w:tcBorders>
              <w:top w:val="double" w:sz="6" w:space="0" w:color="auto"/>
            </w:tcBorders>
          </w:tcPr>
          <w:p w14:paraId="759EFD43" w14:textId="77777777" w:rsidR="002D28AA" w:rsidRPr="009A437B" w:rsidRDefault="002D28AA" w:rsidP="000E1716">
            <w:pPr>
              <w:pStyle w:val="NoSpacing"/>
              <w:rPr>
                <w:rFonts w:ascii="Times New Roman" w:hAnsi="Times New Roman"/>
                <w:sz w:val="26"/>
                <w:szCs w:val="26"/>
              </w:rPr>
            </w:pPr>
          </w:p>
        </w:tc>
        <w:tc>
          <w:tcPr>
            <w:tcW w:w="990" w:type="dxa"/>
            <w:tcBorders>
              <w:top w:val="double" w:sz="6" w:space="0" w:color="auto"/>
            </w:tcBorders>
          </w:tcPr>
          <w:p w14:paraId="6F66E980" w14:textId="77777777" w:rsidR="002D28AA" w:rsidRPr="009A437B" w:rsidRDefault="002D28AA" w:rsidP="000E1716">
            <w:pPr>
              <w:pStyle w:val="NoSpacing"/>
              <w:rPr>
                <w:rFonts w:ascii="Times New Roman" w:hAnsi="Times New Roman"/>
                <w:sz w:val="26"/>
                <w:szCs w:val="26"/>
              </w:rPr>
            </w:pPr>
          </w:p>
        </w:tc>
        <w:tc>
          <w:tcPr>
            <w:tcW w:w="8118" w:type="dxa"/>
            <w:tcBorders>
              <w:top w:val="double" w:sz="6" w:space="0" w:color="auto"/>
            </w:tcBorders>
          </w:tcPr>
          <w:p w14:paraId="5A18BE92" w14:textId="77777777" w:rsidR="002D28AA" w:rsidRPr="009A437B" w:rsidRDefault="002D28AA" w:rsidP="000E1716">
            <w:pPr>
              <w:pStyle w:val="NoSpacing"/>
              <w:rPr>
                <w:rFonts w:ascii="Times New Roman" w:hAnsi="Times New Roman"/>
                <w:sz w:val="26"/>
                <w:szCs w:val="26"/>
              </w:rPr>
            </w:pPr>
          </w:p>
        </w:tc>
      </w:tr>
      <w:tr w:rsidR="002D28AA" w:rsidRPr="009A437B" w14:paraId="6395BEB1" w14:textId="77777777" w:rsidTr="004F67F1">
        <w:trPr>
          <w:trHeight w:val="360"/>
        </w:trPr>
        <w:tc>
          <w:tcPr>
            <w:tcW w:w="342" w:type="dxa"/>
          </w:tcPr>
          <w:p w14:paraId="655CE3E7" w14:textId="77777777" w:rsidR="002D28AA" w:rsidRPr="009A437B" w:rsidRDefault="002D28AA" w:rsidP="000E1716">
            <w:pPr>
              <w:pStyle w:val="NoSpacing"/>
              <w:rPr>
                <w:rFonts w:ascii="Times New Roman" w:hAnsi="Times New Roman"/>
                <w:sz w:val="26"/>
                <w:szCs w:val="26"/>
              </w:rPr>
            </w:pPr>
          </w:p>
        </w:tc>
        <w:tc>
          <w:tcPr>
            <w:tcW w:w="990" w:type="dxa"/>
          </w:tcPr>
          <w:p w14:paraId="37A00ED4" w14:textId="77777777" w:rsidR="002D28AA" w:rsidRPr="009A437B" w:rsidRDefault="002D28AA" w:rsidP="000E1716">
            <w:pPr>
              <w:pStyle w:val="NoSpacing"/>
              <w:rPr>
                <w:rFonts w:ascii="Times New Roman" w:hAnsi="Times New Roman"/>
                <w:sz w:val="26"/>
                <w:szCs w:val="26"/>
              </w:rPr>
            </w:pPr>
            <w:r w:rsidRPr="009A437B">
              <w:rPr>
                <w:rFonts w:ascii="Times New Roman" w:hAnsi="Times New Roman"/>
                <w:sz w:val="26"/>
                <w:szCs w:val="26"/>
              </w:rPr>
              <w:t>Item</w:t>
            </w:r>
          </w:p>
        </w:tc>
        <w:tc>
          <w:tcPr>
            <w:tcW w:w="8118" w:type="dxa"/>
          </w:tcPr>
          <w:p w14:paraId="54F9328C" w14:textId="7145FBE6" w:rsidR="001B509E" w:rsidRDefault="001B509E" w:rsidP="000E1716">
            <w:pPr>
              <w:pStyle w:val="NoSpacing"/>
              <w:jc w:val="both"/>
              <w:rPr>
                <w:rFonts w:ascii="Times New Roman" w:hAnsi="Times New Roman"/>
                <w:sz w:val="26"/>
                <w:szCs w:val="26"/>
              </w:rPr>
            </w:pPr>
            <w:r w:rsidRPr="001B509E">
              <w:rPr>
                <w:rFonts w:ascii="Times New Roman" w:hAnsi="Times New Roman"/>
                <w:sz w:val="26"/>
                <w:szCs w:val="26"/>
              </w:rPr>
              <w:t>Change order to increase Marketing and Delivery Services for Large-Scale, Low-Cost Online Degree Programs for the period September 1, 2020 through August 31, 2022.</w:t>
            </w:r>
          </w:p>
          <w:p w14:paraId="1265B9CE" w14:textId="77151792" w:rsidR="001B509E" w:rsidRPr="009A437B" w:rsidRDefault="001B509E" w:rsidP="000E1716">
            <w:pPr>
              <w:pStyle w:val="NoSpacing"/>
              <w:jc w:val="both"/>
              <w:rPr>
                <w:rFonts w:ascii="Times New Roman" w:hAnsi="Times New Roman"/>
                <w:b/>
                <w:sz w:val="26"/>
                <w:szCs w:val="26"/>
              </w:rPr>
            </w:pPr>
          </w:p>
        </w:tc>
      </w:tr>
      <w:tr w:rsidR="002D28AA" w:rsidRPr="009A437B" w14:paraId="581329BA" w14:textId="77777777" w:rsidTr="000E1716">
        <w:trPr>
          <w:trHeight w:val="315"/>
        </w:trPr>
        <w:tc>
          <w:tcPr>
            <w:tcW w:w="342" w:type="dxa"/>
          </w:tcPr>
          <w:p w14:paraId="02C1889C" w14:textId="77777777" w:rsidR="002D28AA" w:rsidRPr="009A437B" w:rsidRDefault="002D28AA" w:rsidP="000E1716">
            <w:pPr>
              <w:pStyle w:val="NoSpacing"/>
              <w:rPr>
                <w:rFonts w:ascii="Times New Roman" w:hAnsi="Times New Roman"/>
                <w:sz w:val="26"/>
                <w:szCs w:val="26"/>
              </w:rPr>
            </w:pPr>
          </w:p>
        </w:tc>
        <w:tc>
          <w:tcPr>
            <w:tcW w:w="990" w:type="dxa"/>
          </w:tcPr>
          <w:p w14:paraId="55A28942" w14:textId="77777777" w:rsidR="002D28AA" w:rsidRPr="009A437B" w:rsidRDefault="002D28AA" w:rsidP="000E1716">
            <w:pPr>
              <w:pStyle w:val="NoSpacing"/>
              <w:rPr>
                <w:rFonts w:ascii="Times New Roman" w:hAnsi="Times New Roman"/>
                <w:sz w:val="26"/>
                <w:szCs w:val="26"/>
              </w:rPr>
            </w:pPr>
          </w:p>
          <w:p w14:paraId="577898D9" w14:textId="77777777" w:rsidR="002D28AA" w:rsidRPr="009A437B" w:rsidRDefault="002D28AA" w:rsidP="000E1716">
            <w:pPr>
              <w:pStyle w:val="NoSpacing"/>
              <w:rPr>
                <w:rFonts w:ascii="Times New Roman" w:hAnsi="Times New Roman"/>
                <w:sz w:val="26"/>
                <w:szCs w:val="26"/>
              </w:rPr>
            </w:pPr>
            <w:r w:rsidRPr="009A437B">
              <w:rPr>
                <w:rFonts w:ascii="Times New Roman" w:hAnsi="Times New Roman"/>
                <w:sz w:val="26"/>
                <w:szCs w:val="26"/>
              </w:rPr>
              <w:t>Cost</w:t>
            </w:r>
          </w:p>
        </w:tc>
        <w:tc>
          <w:tcPr>
            <w:tcW w:w="8118" w:type="dxa"/>
          </w:tcPr>
          <w:p w14:paraId="488C8E94" w14:textId="77777777" w:rsidR="002D28AA" w:rsidRPr="009A437B" w:rsidRDefault="002D28AA" w:rsidP="000E1716">
            <w:pPr>
              <w:pStyle w:val="NoSpacing"/>
              <w:rPr>
                <w:rFonts w:ascii="Times New Roman" w:hAnsi="Times New Roman"/>
                <w:sz w:val="26"/>
                <w:szCs w:val="26"/>
              </w:rPr>
            </w:pPr>
          </w:p>
          <w:p w14:paraId="4A9BBD80" w14:textId="2918D03C" w:rsidR="001B509E" w:rsidRDefault="001B509E" w:rsidP="001B509E">
            <w:pPr>
              <w:pStyle w:val="NoSpacing"/>
              <w:rPr>
                <w:rFonts w:ascii="Times New Roman" w:hAnsi="Times New Roman"/>
                <w:spacing w:val="-3"/>
                <w:sz w:val="26"/>
                <w:szCs w:val="26"/>
              </w:rPr>
            </w:pPr>
            <w:r w:rsidRPr="001B509E">
              <w:rPr>
                <w:rFonts w:ascii="Times New Roman" w:hAnsi="Times New Roman"/>
                <w:spacing w:val="-3"/>
                <w:sz w:val="26"/>
                <w:szCs w:val="26"/>
              </w:rPr>
              <w:t xml:space="preserve">$12,000,000.00 (estimated) </w:t>
            </w:r>
          </w:p>
          <w:p w14:paraId="4BA886A7" w14:textId="77777777" w:rsidR="001B509E" w:rsidRPr="001B509E" w:rsidRDefault="001B509E" w:rsidP="001B509E">
            <w:pPr>
              <w:pStyle w:val="NoSpacing"/>
              <w:rPr>
                <w:rFonts w:ascii="Times New Roman" w:hAnsi="Times New Roman"/>
                <w:spacing w:val="-3"/>
                <w:sz w:val="26"/>
                <w:szCs w:val="26"/>
              </w:rPr>
            </w:pPr>
          </w:p>
          <w:p w14:paraId="41C10AAD" w14:textId="77777777" w:rsidR="001B509E" w:rsidRPr="001B509E" w:rsidRDefault="001B509E" w:rsidP="001B509E">
            <w:pPr>
              <w:pStyle w:val="NoSpacing"/>
              <w:rPr>
                <w:rFonts w:ascii="Times New Roman" w:hAnsi="Times New Roman"/>
                <w:sz w:val="26"/>
                <w:szCs w:val="26"/>
              </w:rPr>
            </w:pPr>
            <w:r w:rsidRPr="001B509E">
              <w:rPr>
                <w:rFonts w:ascii="Times New Roman" w:hAnsi="Times New Roman"/>
                <w:sz w:val="26"/>
                <w:szCs w:val="26"/>
              </w:rPr>
              <w:t xml:space="preserve">Original Amount            Change Order            New Total  </w:t>
            </w:r>
          </w:p>
          <w:p w14:paraId="25C36252" w14:textId="77777777" w:rsidR="001B509E" w:rsidRPr="001B509E" w:rsidRDefault="001B509E" w:rsidP="001B509E">
            <w:pPr>
              <w:pStyle w:val="NoSpacing"/>
              <w:rPr>
                <w:rFonts w:ascii="Times New Roman" w:hAnsi="Times New Roman"/>
                <w:sz w:val="26"/>
                <w:szCs w:val="26"/>
              </w:rPr>
            </w:pPr>
            <w:r w:rsidRPr="001B509E">
              <w:rPr>
                <w:rFonts w:ascii="Times New Roman" w:hAnsi="Times New Roman"/>
                <w:sz w:val="26"/>
                <w:szCs w:val="26"/>
              </w:rPr>
              <w:t xml:space="preserve"> (</w:t>
            </w:r>
            <w:proofErr w:type="gramStart"/>
            <w:r w:rsidRPr="001B509E">
              <w:rPr>
                <w:rFonts w:ascii="Times New Roman" w:hAnsi="Times New Roman"/>
                <w:sz w:val="26"/>
                <w:szCs w:val="26"/>
              </w:rPr>
              <w:t xml:space="preserve">estimated)   </w:t>
            </w:r>
            <w:proofErr w:type="gramEnd"/>
            <w:r w:rsidRPr="001B509E">
              <w:rPr>
                <w:rFonts w:ascii="Times New Roman" w:hAnsi="Times New Roman"/>
                <w:sz w:val="26"/>
                <w:szCs w:val="26"/>
              </w:rPr>
              <w:t xml:space="preserve">                   (estimated)               (estimated)</w:t>
            </w:r>
          </w:p>
          <w:p w14:paraId="5346A41F" w14:textId="70FF03F4" w:rsidR="001B509E" w:rsidRPr="009A437B" w:rsidRDefault="001B509E" w:rsidP="001B509E">
            <w:pPr>
              <w:pStyle w:val="NoSpacing"/>
              <w:rPr>
                <w:rFonts w:ascii="Times New Roman" w:hAnsi="Times New Roman"/>
                <w:sz w:val="26"/>
                <w:szCs w:val="26"/>
              </w:rPr>
            </w:pPr>
            <w:r w:rsidRPr="001B509E">
              <w:rPr>
                <w:rFonts w:ascii="Times New Roman" w:hAnsi="Times New Roman"/>
                <w:sz w:val="26"/>
                <w:szCs w:val="26"/>
              </w:rPr>
              <w:t>$40,000,000                    $12,000,000              $52,000,000</w:t>
            </w:r>
          </w:p>
        </w:tc>
      </w:tr>
      <w:tr w:rsidR="002D28AA" w:rsidRPr="00F111A4" w14:paraId="1F403392" w14:textId="77777777" w:rsidTr="000E1716">
        <w:trPr>
          <w:trHeight w:val="150"/>
        </w:trPr>
        <w:tc>
          <w:tcPr>
            <w:tcW w:w="342" w:type="dxa"/>
          </w:tcPr>
          <w:p w14:paraId="7234B70F" w14:textId="77777777" w:rsidR="002D28AA" w:rsidRPr="00F111A4" w:rsidRDefault="002D28AA" w:rsidP="000E1716">
            <w:pPr>
              <w:pStyle w:val="NoSpacing"/>
              <w:rPr>
                <w:rFonts w:ascii="Times New Roman" w:hAnsi="Times New Roman"/>
                <w:sz w:val="26"/>
                <w:szCs w:val="26"/>
              </w:rPr>
            </w:pPr>
          </w:p>
        </w:tc>
        <w:tc>
          <w:tcPr>
            <w:tcW w:w="990" w:type="dxa"/>
            <w:shd w:val="clear" w:color="auto" w:fill="auto"/>
          </w:tcPr>
          <w:p w14:paraId="6B5FA944" w14:textId="77777777" w:rsidR="002D28AA" w:rsidRPr="00F111A4" w:rsidRDefault="002D28AA" w:rsidP="000E1716">
            <w:pPr>
              <w:pStyle w:val="NoSpacing"/>
              <w:rPr>
                <w:rFonts w:ascii="Times New Roman" w:hAnsi="Times New Roman"/>
                <w:sz w:val="26"/>
                <w:szCs w:val="26"/>
              </w:rPr>
            </w:pPr>
          </w:p>
          <w:p w14:paraId="4FED886B" w14:textId="77777777" w:rsidR="002D28AA" w:rsidRPr="00F111A4" w:rsidRDefault="002D28AA" w:rsidP="000E1716">
            <w:pPr>
              <w:pStyle w:val="NoSpacing"/>
              <w:rPr>
                <w:rFonts w:ascii="Times New Roman" w:hAnsi="Times New Roman"/>
                <w:sz w:val="26"/>
                <w:szCs w:val="26"/>
              </w:rPr>
            </w:pPr>
            <w:r w:rsidRPr="00F111A4">
              <w:rPr>
                <w:rFonts w:ascii="Times New Roman" w:hAnsi="Times New Roman"/>
                <w:sz w:val="26"/>
                <w:szCs w:val="26"/>
              </w:rPr>
              <w:t>Vendor</w:t>
            </w:r>
          </w:p>
        </w:tc>
        <w:tc>
          <w:tcPr>
            <w:tcW w:w="8118" w:type="dxa"/>
            <w:shd w:val="clear" w:color="auto" w:fill="auto"/>
          </w:tcPr>
          <w:p w14:paraId="66974E4E" w14:textId="77777777" w:rsidR="002D28AA" w:rsidRPr="00F111A4" w:rsidRDefault="002D28AA" w:rsidP="00F111A4">
            <w:pPr>
              <w:pStyle w:val="NoSpacing"/>
              <w:jc w:val="both"/>
              <w:rPr>
                <w:rFonts w:ascii="Times New Roman" w:hAnsi="Times New Roman"/>
                <w:sz w:val="26"/>
                <w:szCs w:val="26"/>
              </w:rPr>
            </w:pPr>
          </w:p>
          <w:p w14:paraId="69002FA3" w14:textId="34591523" w:rsidR="00F111A4" w:rsidRPr="00F111A4" w:rsidRDefault="00F111A4" w:rsidP="00F111A4">
            <w:pPr>
              <w:pStyle w:val="NoSpacing"/>
              <w:jc w:val="both"/>
              <w:rPr>
                <w:rFonts w:ascii="Times New Roman" w:hAnsi="Times New Roman"/>
                <w:bCs/>
                <w:iCs/>
                <w:spacing w:val="-3"/>
                <w:sz w:val="26"/>
                <w:szCs w:val="26"/>
              </w:rPr>
            </w:pPr>
            <w:r w:rsidRPr="00F111A4">
              <w:rPr>
                <w:rFonts w:ascii="Times New Roman" w:hAnsi="Times New Roman"/>
                <w:bCs/>
                <w:iCs/>
                <w:spacing w:val="-3"/>
                <w:sz w:val="26"/>
                <w:szCs w:val="26"/>
              </w:rPr>
              <w:t xml:space="preserve">Coursera Inc.,                                                             Mountain View, California    </w:t>
            </w:r>
          </w:p>
          <w:p w14:paraId="1E99C7D4" w14:textId="77777777" w:rsidR="002D28AA" w:rsidRPr="00F111A4" w:rsidRDefault="002D28AA" w:rsidP="00F111A4">
            <w:pPr>
              <w:pStyle w:val="NoSpacing"/>
              <w:jc w:val="both"/>
              <w:rPr>
                <w:rFonts w:ascii="Times New Roman" w:hAnsi="Times New Roman"/>
                <w:sz w:val="26"/>
                <w:szCs w:val="26"/>
              </w:rPr>
            </w:pPr>
            <w:r w:rsidRPr="00F111A4">
              <w:rPr>
                <w:rFonts w:ascii="Times New Roman" w:hAnsi="Times New Roman"/>
                <w:sz w:val="26"/>
                <w:szCs w:val="26"/>
              </w:rPr>
              <w:t xml:space="preserve"> </w:t>
            </w:r>
          </w:p>
          <w:p w14:paraId="0B8324F9" w14:textId="7BD3ABD5" w:rsidR="00F111A4" w:rsidRDefault="00F111A4" w:rsidP="00F111A4">
            <w:pPr>
              <w:spacing w:after="0"/>
              <w:jc w:val="both"/>
              <w:rPr>
                <w:rFonts w:ascii="Times New Roman" w:hAnsi="Times New Roman"/>
                <w:sz w:val="26"/>
                <w:szCs w:val="26"/>
              </w:rPr>
            </w:pPr>
            <w:r w:rsidRPr="00F111A4">
              <w:rPr>
                <w:rFonts w:ascii="Times New Roman" w:hAnsi="Times New Roman"/>
                <w:sz w:val="26"/>
                <w:szCs w:val="26"/>
              </w:rPr>
              <w:t xml:space="preserve">An initial award was approved by the Board of Trustees on September 8, 2016 for an estimated $5,000,000 for the period October 1, 2016 through August 31, 2018.  Additionally, 2 two-year renewals were approved by the Board of Trustees on May 17, 2018 and May 21, 2020.  This purchase is a sole source in that the vendor has a proprietary learning management system which readily handles well of 100,000 learners per course and has the expertise in market data analytics to better identify students interested in degree programs. </w:t>
            </w:r>
          </w:p>
          <w:p w14:paraId="0273FB3A" w14:textId="77777777" w:rsidR="00F111A4" w:rsidRPr="00F111A4" w:rsidRDefault="00F111A4" w:rsidP="00F111A4">
            <w:pPr>
              <w:spacing w:after="0"/>
              <w:jc w:val="both"/>
              <w:rPr>
                <w:rFonts w:ascii="Times New Roman" w:hAnsi="Times New Roman"/>
                <w:sz w:val="26"/>
                <w:szCs w:val="26"/>
              </w:rPr>
            </w:pPr>
          </w:p>
          <w:p w14:paraId="25D8F700" w14:textId="77777777" w:rsidR="00F111A4" w:rsidRDefault="00F111A4" w:rsidP="00F111A4">
            <w:pPr>
              <w:pStyle w:val="NoSpacing"/>
              <w:jc w:val="both"/>
              <w:rPr>
                <w:rFonts w:ascii="Times New Roman" w:hAnsi="Times New Roman"/>
                <w:sz w:val="26"/>
                <w:szCs w:val="26"/>
              </w:rPr>
            </w:pPr>
            <w:r w:rsidRPr="00F111A4">
              <w:rPr>
                <w:rFonts w:ascii="Times New Roman" w:hAnsi="Times New Roman"/>
                <w:sz w:val="26"/>
                <w:szCs w:val="26"/>
              </w:rPr>
              <w:t>Coursera’s system has provided significant economies of scale, which allows the University to offer these programs at prices far below those of conventional degrees.  The increase is required to accommodate the rapid growth in electronic course delivery due to COVID-19 pandemic.   Programs offered through the system have seen a 30% increase then what was originally anticipated at the start of the FY21 contract renewal.  Original estimates were based on the annual growth of the program prior to the pandemic.  Students enrolled in these programs will benefit directly through the low tuition rates, and other University students will also benefit as the revenues from these programs help support other activities on our campus.</w:t>
            </w:r>
          </w:p>
          <w:p w14:paraId="7F75A6EA" w14:textId="77777777" w:rsidR="00340BA4" w:rsidRDefault="00340BA4" w:rsidP="00F111A4">
            <w:pPr>
              <w:pStyle w:val="NoSpacing"/>
              <w:jc w:val="both"/>
              <w:rPr>
                <w:rFonts w:ascii="Times New Roman" w:hAnsi="Times New Roman"/>
                <w:sz w:val="26"/>
                <w:szCs w:val="26"/>
              </w:rPr>
            </w:pPr>
          </w:p>
          <w:p w14:paraId="22B89BDD" w14:textId="0DB8A3EE" w:rsidR="00720521" w:rsidRPr="00F111A4" w:rsidRDefault="00720521" w:rsidP="00F111A4">
            <w:pPr>
              <w:pStyle w:val="NoSpacing"/>
              <w:jc w:val="both"/>
              <w:rPr>
                <w:rFonts w:ascii="Times New Roman" w:hAnsi="Times New Roman"/>
                <w:sz w:val="26"/>
                <w:szCs w:val="26"/>
              </w:rPr>
            </w:pPr>
          </w:p>
        </w:tc>
      </w:tr>
    </w:tbl>
    <w:p w14:paraId="278E05F8" w14:textId="608E6F7F" w:rsidR="002D28AA" w:rsidRDefault="000E1034" w:rsidP="000E1034">
      <w:pPr>
        <w:pBdr>
          <w:top w:val="single" w:sz="18" w:space="1" w:color="auto"/>
          <w:bottom w:val="single" w:sz="18" w:space="1" w:color="auto"/>
        </w:pBd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9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color w:val="000000"/>
          <w:sz w:val="26"/>
          <w:szCs w:val="26"/>
        </w:rPr>
      </w:pPr>
      <w:r>
        <w:rPr>
          <w:rFonts w:ascii="Times New Roman" w:eastAsia="Times New Roman" w:hAnsi="Times New Roman"/>
          <w:b/>
          <w:sz w:val="26"/>
          <w:szCs w:val="26"/>
        </w:rPr>
        <w:t>University of Illinois Chicago</w:t>
      </w:r>
    </w:p>
    <w:tbl>
      <w:tblPr>
        <w:tblW w:w="9702" w:type="dxa"/>
        <w:tblLayout w:type="fixed"/>
        <w:tblCellMar>
          <w:left w:w="72" w:type="dxa"/>
          <w:right w:w="72" w:type="dxa"/>
        </w:tblCellMar>
        <w:tblLook w:val="0000" w:firstRow="0" w:lastRow="0" w:firstColumn="0" w:lastColumn="0" w:noHBand="0" w:noVBand="0"/>
      </w:tblPr>
      <w:tblGrid>
        <w:gridCol w:w="342"/>
        <w:gridCol w:w="90"/>
        <w:gridCol w:w="900"/>
        <w:gridCol w:w="270"/>
        <w:gridCol w:w="7848"/>
        <w:gridCol w:w="252"/>
      </w:tblGrid>
      <w:tr w:rsidR="002D28AA" w:rsidRPr="00E50F57" w14:paraId="7D3ED7B7" w14:textId="77777777" w:rsidTr="00F111A4">
        <w:trPr>
          <w:gridAfter w:val="1"/>
          <w:wAfter w:w="252" w:type="dxa"/>
          <w:trHeight w:val="120"/>
        </w:trPr>
        <w:tc>
          <w:tcPr>
            <w:tcW w:w="342" w:type="dxa"/>
            <w:tcBorders>
              <w:bottom w:val="double" w:sz="6" w:space="0" w:color="auto"/>
            </w:tcBorders>
          </w:tcPr>
          <w:p w14:paraId="498322AF" w14:textId="2D31873D" w:rsidR="002D28AA" w:rsidRPr="00E50F57" w:rsidRDefault="00EF5BC7" w:rsidP="000E1716">
            <w:pPr>
              <w:pStyle w:val="NoSpacing"/>
              <w:rPr>
                <w:rFonts w:ascii="Times New Roman" w:hAnsi="Times New Roman"/>
                <w:sz w:val="26"/>
                <w:szCs w:val="26"/>
              </w:rPr>
            </w:pPr>
            <w:r>
              <w:rPr>
                <w:rFonts w:ascii="Times New Roman" w:hAnsi="Times New Roman"/>
                <w:sz w:val="26"/>
                <w:szCs w:val="26"/>
              </w:rPr>
              <w:t>3</w:t>
            </w:r>
          </w:p>
        </w:tc>
        <w:tc>
          <w:tcPr>
            <w:tcW w:w="990" w:type="dxa"/>
            <w:gridSpan w:val="2"/>
            <w:tcBorders>
              <w:bottom w:val="double" w:sz="6" w:space="0" w:color="auto"/>
            </w:tcBorders>
          </w:tcPr>
          <w:p w14:paraId="46D66206" w14:textId="77777777" w:rsidR="002D28AA" w:rsidRPr="00E50F57" w:rsidRDefault="002D28AA" w:rsidP="000E1716">
            <w:pPr>
              <w:pStyle w:val="NoSpacing"/>
              <w:rPr>
                <w:rFonts w:ascii="Times New Roman" w:hAnsi="Times New Roman"/>
                <w:sz w:val="26"/>
                <w:szCs w:val="26"/>
              </w:rPr>
            </w:pPr>
            <w:r w:rsidRPr="00E50F57">
              <w:rPr>
                <w:rFonts w:ascii="Times New Roman" w:hAnsi="Times New Roman"/>
                <w:sz w:val="26"/>
                <w:szCs w:val="26"/>
              </w:rPr>
              <w:t>Unit</w:t>
            </w:r>
          </w:p>
        </w:tc>
        <w:tc>
          <w:tcPr>
            <w:tcW w:w="8118" w:type="dxa"/>
            <w:gridSpan w:val="2"/>
            <w:tcBorders>
              <w:bottom w:val="double" w:sz="6" w:space="0" w:color="auto"/>
            </w:tcBorders>
          </w:tcPr>
          <w:p w14:paraId="297B60D7" w14:textId="05F82546" w:rsidR="002D28AA" w:rsidRPr="009A437B" w:rsidRDefault="00EF5BC7" w:rsidP="000E1716">
            <w:pPr>
              <w:pStyle w:val="NoSpacing"/>
              <w:rPr>
                <w:rFonts w:ascii="Times New Roman" w:hAnsi="Times New Roman"/>
                <w:sz w:val="26"/>
                <w:szCs w:val="26"/>
              </w:rPr>
            </w:pPr>
            <w:r w:rsidRPr="00EF5BC7">
              <w:rPr>
                <w:rFonts w:ascii="Times New Roman" w:hAnsi="Times New Roman"/>
                <w:sz w:val="26"/>
                <w:szCs w:val="26"/>
                <w:u w:val="single"/>
              </w:rPr>
              <w:t>University of Illinois Physicians Group- Managed Care / Campus Care</w:t>
            </w:r>
          </w:p>
        </w:tc>
      </w:tr>
      <w:tr w:rsidR="002D28AA" w:rsidRPr="00E50F57" w14:paraId="0B6C9FFE" w14:textId="77777777" w:rsidTr="00F111A4">
        <w:trPr>
          <w:gridAfter w:val="1"/>
          <w:wAfter w:w="252" w:type="dxa"/>
        </w:trPr>
        <w:tc>
          <w:tcPr>
            <w:tcW w:w="342" w:type="dxa"/>
            <w:tcBorders>
              <w:top w:val="double" w:sz="6" w:space="0" w:color="auto"/>
            </w:tcBorders>
          </w:tcPr>
          <w:p w14:paraId="6EE68FD9" w14:textId="77777777" w:rsidR="002D28AA" w:rsidRPr="00E50F57" w:rsidRDefault="002D28AA" w:rsidP="000E1716">
            <w:pPr>
              <w:pStyle w:val="NoSpacing"/>
              <w:rPr>
                <w:rFonts w:ascii="Times New Roman" w:hAnsi="Times New Roman"/>
                <w:sz w:val="26"/>
                <w:szCs w:val="26"/>
              </w:rPr>
            </w:pPr>
          </w:p>
        </w:tc>
        <w:tc>
          <w:tcPr>
            <w:tcW w:w="990" w:type="dxa"/>
            <w:gridSpan w:val="2"/>
            <w:tcBorders>
              <w:top w:val="double" w:sz="6" w:space="0" w:color="auto"/>
            </w:tcBorders>
          </w:tcPr>
          <w:p w14:paraId="1E296827" w14:textId="77777777" w:rsidR="002D28AA" w:rsidRPr="00E50F57" w:rsidRDefault="002D28AA" w:rsidP="000E1716">
            <w:pPr>
              <w:pStyle w:val="NoSpacing"/>
              <w:rPr>
                <w:rFonts w:ascii="Times New Roman" w:hAnsi="Times New Roman"/>
                <w:sz w:val="26"/>
                <w:szCs w:val="26"/>
              </w:rPr>
            </w:pPr>
          </w:p>
        </w:tc>
        <w:tc>
          <w:tcPr>
            <w:tcW w:w="8118" w:type="dxa"/>
            <w:gridSpan w:val="2"/>
            <w:tcBorders>
              <w:top w:val="double" w:sz="6" w:space="0" w:color="auto"/>
            </w:tcBorders>
          </w:tcPr>
          <w:p w14:paraId="358D5E6F" w14:textId="77777777" w:rsidR="002D28AA" w:rsidRPr="009A437B" w:rsidRDefault="002D28AA" w:rsidP="000E1716">
            <w:pPr>
              <w:pStyle w:val="NoSpacing"/>
              <w:rPr>
                <w:rFonts w:ascii="Times New Roman" w:hAnsi="Times New Roman"/>
                <w:sz w:val="26"/>
                <w:szCs w:val="26"/>
              </w:rPr>
            </w:pPr>
          </w:p>
        </w:tc>
      </w:tr>
      <w:tr w:rsidR="002D28AA" w:rsidRPr="00E50F57" w14:paraId="334B3349" w14:textId="77777777" w:rsidTr="00F111A4">
        <w:trPr>
          <w:gridAfter w:val="1"/>
          <w:wAfter w:w="252" w:type="dxa"/>
          <w:trHeight w:val="648"/>
        </w:trPr>
        <w:tc>
          <w:tcPr>
            <w:tcW w:w="342" w:type="dxa"/>
          </w:tcPr>
          <w:p w14:paraId="61429AAE" w14:textId="77777777" w:rsidR="002D28AA" w:rsidRPr="00E50F57" w:rsidRDefault="002D28AA" w:rsidP="000E1716">
            <w:pPr>
              <w:pStyle w:val="NoSpacing"/>
              <w:rPr>
                <w:rFonts w:ascii="Times New Roman" w:hAnsi="Times New Roman"/>
                <w:sz w:val="26"/>
                <w:szCs w:val="26"/>
              </w:rPr>
            </w:pPr>
          </w:p>
        </w:tc>
        <w:tc>
          <w:tcPr>
            <w:tcW w:w="990" w:type="dxa"/>
            <w:gridSpan w:val="2"/>
          </w:tcPr>
          <w:p w14:paraId="5334E305" w14:textId="77777777" w:rsidR="002D28AA" w:rsidRPr="00E50F57" w:rsidRDefault="002D28AA" w:rsidP="000E1716">
            <w:pPr>
              <w:pStyle w:val="NoSpacing"/>
              <w:rPr>
                <w:rFonts w:ascii="Times New Roman" w:hAnsi="Times New Roman"/>
                <w:sz w:val="26"/>
                <w:szCs w:val="26"/>
              </w:rPr>
            </w:pPr>
            <w:r w:rsidRPr="00E50F57">
              <w:rPr>
                <w:rFonts w:ascii="Times New Roman" w:hAnsi="Times New Roman"/>
                <w:sz w:val="26"/>
                <w:szCs w:val="26"/>
              </w:rPr>
              <w:t>Item</w:t>
            </w:r>
          </w:p>
        </w:tc>
        <w:tc>
          <w:tcPr>
            <w:tcW w:w="8118" w:type="dxa"/>
            <w:gridSpan w:val="2"/>
          </w:tcPr>
          <w:p w14:paraId="2EF6208B" w14:textId="46CC3C7C" w:rsidR="002D28AA" w:rsidRPr="009A437B" w:rsidRDefault="00EF5BC7" w:rsidP="000E1716">
            <w:pPr>
              <w:pStyle w:val="NoSpacing"/>
              <w:jc w:val="both"/>
              <w:rPr>
                <w:rFonts w:ascii="Times New Roman" w:hAnsi="Times New Roman"/>
                <w:b/>
                <w:sz w:val="26"/>
                <w:szCs w:val="26"/>
              </w:rPr>
            </w:pPr>
            <w:r w:rsidRPr="00EF5BC7">
              <w:rPr>
                <w:rFonts w:ascii="Times New Roman" w:hAnsi="Times New Roman"/>
                <w:sz w:val="26"/>
                <w:szCs w:val="26"/>
              </w:rPr>
              <w:t xml:space="preserve">Change Order request to the existing agreement for </w:t>
            </w:r>
            <w:proofErr w:type="spellStart"/>
            <w:r w:rsidRPr="00EF5BC7">
              <w:rPr>
                <w:rFonts w:ascii="Times New Roman" w:hAnsi="Times New Roman"/>
                <w:sz w:val="26"/>
                <w:szCs w:val="26"/>
              </w:rPr>
              <w:t>Innovista</w:t>
            </w:r>
            <w:proofErr w:type="spellEnd"/>
            <w:r w:rsidRPr="00EF5BC7">
              <w:rPr>
                <w:rFonts w:ascii="Times New Roman" w:hAnsi="Times New Roman"/>
                <w:sz w:val="26"/>
                <w:szCs w:val="26"/>
              </w:rPr>
              <w:t xml:space="preserve"> Health Solutions to increase the award amount, to include payment of out-of-network claims.</w:t>
            </w:r>
          </w:p>
        </w:tc>
      </w:tr>
      <w:tr w:rsidR="002D28AA" w:rsidRPr="00E50F57" w14:paraId="083E96F7" w14:textId="77777777" w:rsidTr="00F111A4">
        <w:trPr>
          <w:gridAfter w:val="1"/>
          <w:wAfter w:w="252" w:type="dxa"/>
          <w:trHeight w:val="315"/>
        </w:trPr>
        <w:tc>
          <w:tcPr>
            <w:tcW w:w="342" w:type="dxa"/>
          </w:tcPr>
          <w:p w14:paraId="66FB5999" w14:textId="77777777" w:rsidR="002D28AA" w:rsidRPr="00E50F57" w:rsidRDefault="002D28AA" w:rsidP="000E1716">
            <w:pPr>
              <w:pStyle w:val="NoSpacing"/>
              <w:rPr>
                <w:rFonts w:ascii="Times New Roman" w:hAnsi="Times New Roman"/>
                <w:sz w:val="26"/>
                <w:szCs w:val="26"/>
              </w:rPr>
            </w:pPr>
          </w:p>
        </w:tc>
        <w:tc>
          <w:tcPr>
            <w:tcW w:w="990" w:type="dxa"/>
            <w:gridSpan w:val="2"/>
          </w:tcPr>
          <w:p w14:paraId="53A939DE" w14:textId="77777777" w:rsidR="002D28AA" w:rsidRPr="00E50F57" w:rsidRDefault="002D28AA" w:rsidP="000E1716">
            <w:pPr>
              <w:pStyle w:val="NoSpacing"/>
              <w:rPr>
                <w:rFonts w:ascii="Times New Roman" w:hAnsi="Times New Roman"/>
                <w:sz w:val="26"/>
                <w:szCs w:val="26"/>
              </w:rPr>
            </w:pPr>
          </w:p>
          <w:p w14:paraId="1E1DDA15" w14:textId="77777777" w:rsidR="002D28AA" w:rsidRPr="00E50F57" w:rsidRDefault="002D28AA" w:rsidP="000E1716">
            <w:pPr>
              <w:pStyle w:val="NoSpacing"/>
              <w:rPr>
                <w:rFonts w:ascii="Times New Roman" w:hAnsi="Times New Roman"/>
                <w:sz w:val="26"/>
                <w:szCs w:val="26"/>
              </w:rPr>
            </w:pPr>
            <w:r w:rsidRPr="00E50F57">
              <w:rPr>
                <w:rFonts w:ascii="Times New Roman" w:hAnsi="Times New Roman"/>
                <w:sz w:val="26"/>
                <w:szCs w:val="26"/>
              </w:rPr>
              <w:t>Cost</w:t>
            </w:r>
          </w:p>
        </w:tc>
        <w:tc>
          <w:tcPr>
            <w:tcW w:w="8118" w:type="dxa"/>
            <w:gridSpan w:val="2"/>
          </w:tcPr>
          <w:p w14:paraId="7A4428B3" w14:textId="77777777" w:rsidR="002D28AA" w:rsidRPr="009A437B" w:rsidRDefault="002D28AA" w:rsidP="000E1716">
            <w:pPr>
              <w:pStyle w:val="NoSpacing"/>
              <w:rPr>
                <w:rFonts w:ascii="Times New Roman" w:hAnsi="Times New Roman"/>
                <w:sz w:val="26"/>
                <w:szCs w:val="26"/>
              </w:rPr>
            </w:pPr>
          </w:p>
          <w:p w14:paraId="2963E74A" w14:textId="19C54999" w:rsidR="00A266E0" w:rsidRPr="00A266E0" w:rsidRDefault="00EF5BC7" w:rsidP="00EF5BC7">
            <w:pPr>
              <w:pStyle w:val="NoSpacing"/>
              <w:rPr>
                <w:rFonts w:ascii="Times New Roman" w:hAnsi="Times New Roman"/>
                <w:sz w:val="26"/>
                <w:szCs w:val="26"/>
              </w:rPr>
            </w:pPr>
            <w:r>
              <w:rPr>
                <w:rFonts w:ascii="Times New Roman" w:hAnsi="Times New Roman"/>
                <w:sz w:val="26"/>
                <w:szCs w:val="26"/>
              </w:rPr>
              <w:t>$18,963,836 (estimated)</w:t>
            </w:r>
          </w:p>
          <w:p w14:paraId="78ACC278" w14:textId="77777777" w:rsidR="00A266E0" w:rsidRPr="00A266E0" w:rsidRDefault="00A266E0" w:rsidP="00A266E0">
            <w:pPr>
              <w:pStyle w:val="NoSpacing"/>
              <w:rPr>
                <w:rFonts w:ascii="Times New Roman" w:hAnsi="Times New Roman"/>
                <w:sz w:val="26"/>
                <w:szCs w:val="26"/>
              </w:rPr>
            </w:pPr>
          </w:p>
          <w:p w14:paraId="01F089A8" w14:textId="77777777" w:rsidR="00EF5BC7" w:rsidRPr="00EF5BC7" w:rsidRDefault="00EF5BC7" w:rsidP="00EF5BC7">
            <w:pPr>
              <w:pStyle w:val="NoSpacing"/>
              <w:rPr>
                <w:rFonts w:ascii="Times New Roman" w:hAnsi="Times New Roman"/>
                <w:sz w:val="26"/>
                <w:szCs w:val="26"/>
              </w:rPr>
            </w:pPr>
            <w:r w:rsidRPr="00EF5BC7">
              <w:rPr>
                <w:rFonts w:ascii="Times New Roman" w:hAnsi="Times New Roman"/>
                <w:sz w:val="26"/>
                <w:szCs w:val="26"/>
              </w:rPr>
              <w:t>Change order request to increase the total award amount to $18,963,836, which includes:</w:t>
            </w:r>
          </w:p>
          <w:p w14:paraId="03DDA31D" w14:textId="77777777" w:rsidR="00EF5BC7" w:rsidRPr="00EF5BC7" w:rsidRDefault="00EF5BC7" w:rsidP="00EF5BC7">
            <w:pPr>
              <w:pStyle w:val="NoSpacing"/>
              <w:numPr>
                <w:ilvl w:val="0"/>
                <w:numId w:val="17"/>
              </w:numPr>
              <w:rPr>
                <w:rFonts w:ascii="Times New Roman" w:hAnsi="Times New Roman"/>
                <w:sz w:val="26"/>
                <w:szCs w:val="26"/>
              </w:rPr>
            </w:pPr>
            <w:r w:rsidRPr="00EF5BC7">
              <w:rPr>
                <w:rFonts w:ascii="Times New Roman" w:hAnsi="Times New Roman"/>
                <w:sz w:val="26"/>
                <w:szCs w:val="26"/>
              </w:rPr>
              <w:t xml:space="preserve">Increase to initial term (effective through November 30, 2021) from </w:t>
            </w:r>
            <w:r w:rsidRPr="00EF5BC7">
              <w:rPr>
                <w:rFonts w:ascii="Times New Roman" w:hAnsi="Times New Roman"/>
                <w:sz w:val="26"/>
                <w:szCs w:val="26"/>
                <w:u w:val="single"/>
              </w:rPr>
              <w:t>$7,513,836</w:t>
            </w:r>
            <w:r w:rsidRPr="00EF5BC7">
              <w:rPr>
                <w:rFonts w:ascii="Times New Roman" w:hAnsi="Times New Roman"/>
                <w:sz w:val="26"/>
                <w:szCs w:val="26"/>
              </w:rPr>
              <w:t xml:space="preserve"> to </w:t>
            </w:r>
            <w:r w:rsidRPr="00EF5BC7">
              <w:rPr>
                <w:rFonts w:ascii="Times New Roman" w:hAnsi="Times New Roman"/>
                <w:sz w:val="26"/>
                <w:szCs w:val="26"/>
                <w:u w:val="single"/>
              </w:rPr>
              <w:t>$10,713,836.</w:t>
            </w:r>
          </w:p>
          <w:p w14:paraId="23DA4966" w14:textId="4493A2A5" w:rsidR="002D28AA" w:rsidRPr="009A437B" w:rsidRDefault="00EF5BC7" w:rsidP="00340BA4">
            <w:pPr>
              <w:pStyle w:val="NoSpacing"/>
              <w:numPr>
                <w:ilvl w:val="0"/>
                <w:numId w:val="17"/>
              </w:numPr>
              <w:rPr>
                <w:rFonts w:ascii="Times New Roman" w:hAnsi="Times New Roman"/>
                <w:sz w:val="26"/>
                <w:szCs w:val="26"/>
              </w:rPr>
            </w:pPr>
            <w:r w:rsidRPr="00EF5BC7">
              <w:rPr>
                <w:rFonts w:ascii="Times New Roman" w:hAnsi="Times New Roman"/>
                <w:sz w:val="26"/>
                <w:szCs w:val="26"/>
              </w:rPr>
              <w:t xml:space="preserve">Increase to renewal amount (December 1, 2021 - November 30, 2022) from </w:t>
            </w:r>
            <w:r w:rsidRPr="00EF5BC7">
              <w:rPr>
                <w:rFonts w:ascii="Times New Roman" w:hAnsi="Times New Roman"/>
                <w:sz w:val="26"/>
                <w:szCs w:val="26"/>
                <w:u w:val="single"/>
              </w:rPr>
              <w:t>$2,053,096</w:t>
            </w:r>
            <w:r w:rsidRPr="00EF5BC7">
              <w:rPr>
                <w:rFonts w:ascii="Times New Roman" w:hAnsi="Times New Roman"/>
                <w:sz w:val="26"/>
                <w:szCs w:val="26"/>
              </w:rPr>
              <w:t xml:space="preserve"> to </w:t>
            </w:r>
            <w:r w:rsidRPr="00EF5BC7">
              <w:rPr>
                <w:rFonts w:ascii="Times New Roman" w:hAnsi="Times New Roman"/>
                <w:sz w:val="26"/>
                <w:szCs w:val="26"/>
                <w:u w:val="single"/>
              </w:rPr>
              <w:t>$8,250,000.</w:t>
            </w:r>
          </w:p>
        </w:tc>
      </w:tr>
      <w:tr w:rsidR="002D28AA" w:rsidRPr="00E50F57" w14:paraId="58E39865" w14:textId="77777777" w:rsidTr="00F111A4">
        <w:trPr>
          <w:gridAfter w:val="1"/>
          <w:wAfter w:w="252" w:type="dxa"/>
          <w:trHeight w:val="150"/>
        </w:trPr>
        <w:tc>
          <w:tcPr>
            <w:tcW w:w="342" w:type="dxa"/>
          </w:tcPr>
          <w:p w14:paraId="64322B17" w14:textId="77777777" w:rsidR="002D28AA" w:rsidRPr="00E50F57" w:rsidRDefault="002D28AA" w:rsidP="000E1716">
            <w:pPr>
              <w:pStyle w:val="NoSpacing"/>
              <w:rPr>
                <w:rFonts w:ascii="Times New Roman" w:hAnsi="Times New Roman"/>
                <w:sz w:val="26"/>
                <w:szCs w:val="26"/>
              </w:rPr>
            </w:pPr>
          </w:p>
        </w:tc>
        <w:tc>
          <w:tcPr>
            <w:tcW w:w="990" w:type="dxa"/>
            <w:gridSpan w:val="2"/>
            <w:shd w:val="clear" w:color="auto" w:fill="auto"/>
          </w:tcPr>
          <w:p w14:paraId="73ABF562" w14:textId="77777777" w:rsidR="002D28AA" w:rsidRPr="00E50F57" w:rsidRDefault="002D28AA" w:rsidP="000E1716">
            <w:pPr>
              <w:pStyle w:val="NoSpacing"/>
              <w:rPr>
                <w:rFonts w:ascii="Times New Roman" w:hAnsi="Times New Roman"/>
                <w:sz w:val="26"/>
                <w:szCs w:val="26"/>
              </w:rPr>
            </w:pPr>
          </w:p>
          <w:p w14:paraId="26F19D40" w14:textId="77777777" w:rsidR="002D28AA" w:rsidRPr="00E50F57" w:rsidRDefault="002D28AA" w:rsidP="000E1716">
            <w:pPr>
              <w:pStyle w:val="NoSpacing"/>
              <w:rPr>
                <w:rFonts w:ascii="Times New Roman" w:hAnsi="Times New Roman"/>
                <w:sz w:val="26"/>
                <w:szCs w:val="26"/>
              </w:rPr>
            </w:pPr>
            <w:r w:rsidRPr="00E50F57">
              <w:rPr>
                <w:rFonts w:ascii="Times New Roman" w:hAnsi="Times New Roman"/>
                <w:sz w:val="26"/>
                <w:szCs w:val="26"/>
              </w:rPr>
              <w:t>Vendor</w:t>
            </w:r>
          </w:p>
        </w:tc>
        <w:tc>
          <w:tcPr>
            <w:tcW w:w="8118" w:type="dxa"/>
            <w:gridSpan w:val="2"/>
            <w:shd w:val="clear" w:color="auto" w:fill="auto"/>
          </w:tcPr>
          <w:p w14:paraId="1E2A626A" w14:textId="77777777" w:rsidR="002D28AA" w:rsidRPr="009A437B" w:rsidRDefault="002D28AA" w:rsidP="000E1716">
            <w:pPr>
              <w:pStyle w:val="NoSpacing"/>
              <w:rPr>
                <w:rFonts w:ascii="Times New Roman" w:hAnsi="Times New Roman"/>
                <w:sz w:val="26"/>
                <w:szCs w:val="26"/>
              </w:rPr>
            </w:pPr>
          </w:p>
          <w:p w14:paraId="7ADA58FC" w14:textId="24B1F022" w:rsidR="00BF3F6D" w:rsidRPr="00BF3F6D" w:rsidRDefault="00BF3F6D" w:rsidP="00BF3F6D">
            <w:pPr>
              <w:spacing w:after="0" w:line="240" w:lineRule="auto"/>
              <w:jc w:val="both"/>
              <w:rPr>
                <w:rFonts w:ascii="Times New Roman" w:hAnsi="Times New Roman"/>
                <w:color w:val="000000"/>
                <w:sz w:val="26"/>
                <w:szCs w:val="26"/>
              </w:rPr>
            </w:pPr>
            <w:proofErr w:type="spellStart"/>
            <w:r w:rsidRPr="00BF3F6D">
              <w:rPr>
                <w:rFonts w:ascii="Times New Roman" w:hAnsi="Times New Roman"/>
                <w:color w:val="000000"/>
                <w:sz w:val="26"/>
                <w:szCs w:val="26"/>
              </w:rPr>
              <w:t>Innovista</w:t>
            </w:r>
            <w:proofErr w:type="spellEnd"/>
            <w:r w:rsidRPr="00BF3F6D">
              <w:rPr>
                <w:rFonts w:ascii="Times New Roman" w:hAnsi="Times New Roman"/>
                <w:color w:val="000000"/>
                <w:sz w:val="26"/>
                <w:szCs w:val="26"/>
              </w:rPr>
              <w:t xml:space="preserve"> Health Solutions </w:t>
            </w:r>
            <w:r w:rsidR="001B509E">
              <w:rPr>
                <w:rFonts w:ascii="Times New Roman" w:hAnsi="Times New Roman"/>
                <w:color w:val="000000"/>
                <w:sz w:val="26"/>
                <w:szCs w:val="26"/>
              </w:rPr>
              <w:t xml:space="preserve">                                                  Oakbrook, Illinois</w:t>
            </w:r>
          </w:p>
          <w:p w14:paraId="2E41EDBB" w14:textId="77777777" w:rsidR="00A266E0" w:rsidRPr="009A437B" w:rsidRDefault="00A266E0" w:rsidP="00A266E0">
            <w:pPr>
              <w:pStyle w:val="NoSpacing"/>
              <w:jc w:val="both"/>
              <w:rPr>
                <w:rFonts w:ascii="Times New Roman" w:hAnsi="Times New Roman"/>
                <w:sz w:val="26"/>
                <w:szCs w:val="26"/>
              </w:rPr>
            </w:pPr>
          </w:p>
          <w:p w14:paraId="5B87213C" w14:textId="6383B929" w:rsidR="00EF5BC7" w:rsidRDefault="00EF5BC7" w:rsidP="00EF5BC7">
            <w:pPr>
              <w:overflowPunct w:val="0"/>
              <w:autoSpaceDE w:val="0"/>
              <w:autoSpaceDN w:val="0"/>
              <w:adjustRightInd w:val="0"/>
              <w:spacing w:after="0" w:line="240" w:lineRule="auto"/>
              <w:jc w:val="both"/>
              <w:textAlignment w:val="baseline"/>
              <w:rPr>
                <w:rFonts w:ascii="Times New Roman" w:eastAsia="Times New Roman" w:hAnsi="Times New Roman"/>
                <w:sz w:val="26"/>
                <w:szCs w:val="26"/>
              </w:rPr>
            </w:pPr>
            <w:r w:rsidRPr="00EF5BC7">
              <w:rPr>
                <w:rFonts w:ascii="Times New Roman" w:eastAsia="Times New Roman" w:hAnsi="Times New Roman"/>
                <w:sz w:val="26"/>
                <w:szCs w:val="26"/>
              </w:rPr>
              <w:t xml:space="preserve">In 2018, the Office of Campus Care/Managed Care awarded </w:t>
            </w:r>
            <w:proofErr w:type="spellStart"/>
            <w:r w:rsidRPr="00EF5BC7">
              <w:rPr>
                <w:rFonts w:ascii="Times New Roman" w:eastAsia="Times New Roman" w:hAnsi="Times New Roman"/>
                <w:sz w:val="26"/>
                <w:szCs w:val="26"/>
              </w:rPr>
              <w:t>Innovista</w:t>
            </w:r>
            <w:proofErr w:type="spellEnd"/>
            <w:r w:rsidRPr="00EF5BC7">
              <w:rPr>
                <w:rFonts w:ascii="Times New Roman" w:eastAsia="Times New Roman" w:hAnsi="Times New Roman"/>
                <w:sz w:val="26"/>
                <w:szCs w:val="26"/>
              </w:rPr>
              <w:t xml:space="preserve"> Health Solutions to provide administrative and management services for Campus Care, a full risk self-funded student health plan, and for the Managed Care Blue Cross and Blue Shield HMOs (BCBS HMOs) Risk Agreements.</w:t>
            </w:r>
          </w:p>
          <w:p w14:paraId="4F635227" w14:textId="77777777" w:rsidR="00EF5BC7" w:rsidRPr="00EF5BC7" w:rsidRDefault="00EF5BC7" w:rsidP="00EF5BC7">
            <w:pPr>
              <w:overflowPunct w:val="0"/>
              <w:autoSpaceDE w:val="0"/>
              <w:autoSpaceDN w:val="0"/>
              <w:adjustRightInd w:val="0"/>
              <w:spacing w:after="0" w:line="240" w:lineRule="auto"/>
              <w:jc w:val="both"/>
              <w:textAlignment w:val="baseline"/>
              <w:rPr>
                <w:rFonts w:ascii="Times New Roman" w:eastAsia="Times New Roman" w:hAnsi="Times New Roman"/>
                <w:sz w:val="26"/>
                <w:szCs w:val="26"/>
              </w:rPr>
            </w:pPr>
          </w:p>
          <w:p w14:paraId="6A12F441" w14:textId="77777777" w:rsidR="00EF5BC7" w:rsidRPr="00EF5BC7" w:rsidRDefault="00EF5BC7" w:rsidP="00EF5BC7">
            <w:pPr>
              <w:overflowPunct w:val="0"/>
              <w:autoSpaceDE w:val="0"/>
              <w:autoSpaceDN w:val="0"/>
              <w:adjustRightInd w:val="0"/>
              <w:spacing w:after="0" w:line="240" w:lineRule="auto"/>
              <w:jc w:val="both"/>
              <w:textAlignment w:val="baseline"/>
              <w:rPr>
                <w:rFonts w:ascii="Times New Roman" w:eastAsia="Times New Roman" w:hAnsi="Times New Roman"/>
                <w:bCs/>
                <w:sz w:val="26"/>
                <w:szCs w:val="26"/>
                <w:lang w:bidi="en-US"/>
              </w:rPr>
            </w:pPr>
            <w:r w:rsidRPr="00EF5BC7">
              <w:rPr>
                <w:rFonts w:ascii="Times New Roman" w:eastAsia="Times New Roman" w:hAnsi="Times New Roman"/>
                <w:bCs/>
                <w:sz w:val="26"/>
                <w:szCs w:val="26"/>
                <w:lang w:bidi="en-US"/>
              </w:rPr>
              <w:t xml:space="preserve">The initial award, including the renewal term, did not include sufficient payments to </w:t>
            </w:r>
            <w:proofErr w:type="spellStart"/>
            <w:r w:rsidRPr="00EF5BC7">
              <w:rPr>
                <w:rFonts w:ascii="Times New Roman" w:eastAsia="Times New Roman" w:hAnsi="Times New Roman"/>
                <w:bCs/>
                <w:sz w:val="26"/>
                <w:szCs w:val="26"/>
                <w:lang w:bidi="en-US"/>
              </w:rPr>
              <w:t>Innovista</w:t>
            </w:r>
            <w:proofErr w:type="spellEnd"/>
            <w:r w:rsidRPr="00EF5BC7">
              <w:rPr>
                <w:rFonts w:ascii="Times New Roman" w:eastAsia="Times New Roman" w:hAnsi="Times New Roman"/>
                <w:bCs/>
                <w:sz w:val="26"/>
                <w:szCs w:val="26"/>
                <w:lang w:bidi="en-US"/>
              </w:rPr>
              <w:t xml:space="preserve"> to process and pay out-of-network member claims.  Such claims had increased due to COVID-19 since students were sent home and unable to use in-network providers at UI Health, which caused an exhaustion of awarded funds.  The University is required to process all clean claims timely or pay interest per the State of Illinois Prompt Payment Act. In addition to the administrative and management services, </w:t>
            </w:r>
            <w:proofErr w:type="spellStart"/>
            <w:r w:rsidRPr="00EF5BC7">
              <w:rPr>
                <w:rFonts w:ascii="Times New Roman" w:eastAsia="Times New Roman" w:hAnsi="Times New Roman"/>
                <w:bCs/>
                <w:sz w:val="26"/>
                <w:szCs w:val="26"/>
                <w:lang w:bidi="en-US"/>
              </w:rPr>
              <w:t>Innovista</w:t>
            </w:r>
            <w:proofErr w:type="spellEnd"/>
            <w:r w:rsidRPr="00EF5BC7">
              <w:rPr>
                <w:rFonts w:ascii="Times New Roman" w:eastAsia="Times New Roman" w:hAnsi="Times New Roman"/>
                <w:bCs/>
                <w:sz w:val="26"/>
                <w:szCs w:val="26"/>
                <w:lang w:bidi="en-US"/>
              </w:rPr>
              <w:t xml:space="preserve"> is receiving dollars for payment of out-of-network claims. In this function, </w:t>
            </w:r>
            <w:proofErr w:type="spellStart"/>
            <w:r w:rsidRPr="00EF5BC7">
              <w:rPr>
                <w:rFonts w:ascii="Times New Roman" w:eastAsia="Times New Roman" w:hAnsi="Times New Roman"/>
                <w:bCs/>
                <w:sz w:val="26"/>
                <w:szCs w:val="26"/>
                <w:lang w:bidi="en-US"/>
              </w:rPr>
              <w:t>Innovista</w:t>
            </w:r>
            <w:proofErr w:type="spellEnd"/>
            <w:r w:rsidRPr="00EF5BC7">
              <w:rPr>
                <w:rFonts w:ascii="Times New Roman" w:eastAsia="Times New Roman" w:hAnsi="Times New Roman"/>
                <w:bCs/>
                <w:sz w:val="26"/>
                <w:szCs w:val="26"/>
                <w:lang w:bidi="en-US"/>
              </w:rPr>
              <w:t xml:space="preserve"> is merely passing through 100% of those dollars to the provider of service. An emergency purchase was issued under JMG898 to cover outstanding out-of-network claims; however, this emergency expires on September 28, 2021 (which leaves about a 2-month gap between the emergency that is in place and the renewal term that begins on December 1, 2021). The Office of Managed Care/Campus Care is requesting an increase from $7,513,836 to $9,113,836 for the initial term to cover the out-of-network claim services until the renewal period begins.</w:t>
            </w:r>
          </w:p>
          <w:p w14:paraId="74314C4F" w14:textId="77777777" w:rsidR="00EF5BC7" w:rsidRPr="00EF5BC7" w:rsidRDefault="00EF5BC7" w:rsidP="00EF5BC7">
            <w:pPr>
              <w:overflowPunct w:val="0"/>
              <w:autoSpaceDE w:val="0"/>
              <w:autoSpaceDN w:val="0"/>
              <w:adjustRightInd w:val="0"/>
              <w:spacing w:after="0" w:line="240" w:lineRule="auto"/>
              <w:jc w:val="both"/>
              <w:textAlignment w:val="baseline"/>
              <w:rPr>
                <w:rFonts w:ascii="Times New Roman" w:eastAsia="Times New Roman" w:hAnsi="Times New Roman"/>
                <w:bCs/>
                <w:sz w:val="26"/>
                <w:szCs w:val="26"/>
                <w:lang w:bidi="en-US"/>
              </w:rPr>
            </w:pPr>
          </w:p>
          <w:p w14:paraId="224965B7" w14:textId="77777777" w:rsidR="00EF5BC7" w:rsidRPr="00EF5BC7" w:rsidRDefault="00EF5BC7" w:rsidP="00EF5BC7">
            <w:pPr>
              <w:overflowPunct w:val="0"/>
              <w:autoSpaceDE w:val="0"/>
              <w:autoSpaceDN w:val="0"/>
              <w:adjustRightInd w:val="0"/>
              <w:spacing w:after="0" w:line="240" w:lineRule="auto"/>
              <w:jc w:val="both"/>
              <w:textAlignment w:val="baseline"/>
              <w:rPr>
                <w:rFonts w:ascii="Times New Roman" w:eastAsia="Times New Roman" w:hAnsi="Times New Roman"/>
                <w:sz w:val="26"/>
                <w:szCs w:val="26"/>
                <w:lang w:bidi="en-US"/>
              </w:rPr>
            </w:pPr>
            <w:r w:rsidRPr="00EF5BC7">
              <w:rPr>
                <w:rFonts w:ascii="Times New Roman" w:eastAsia="Times New Roman" w:hAnsi="Times New Roman"/>
                <w:bCs/>
                <w:sz w:val="26"/>
                <w:szCs w:val="26"/>
                <w:lang w:bidi="en-US"/>
              </w:rPr>
              <w:t xml:space="preserve">The Office of Managed Care/Campus Care is requesting an increase for the 1-year renewal term from $2,053,096 to $8,250,000 for the period of December 1, 2021- November 30, 2022. </w:t>
            </w:r>
            <w:r w:rsidRPr="00EF5BC7">
              <w:rPr>
                <w:rFonts w:ascii="Times New Roman" w:eastAsia="Times New Roman" w:hAnsi="Times New Roman"/>
                <w:sz w:val="26"/>
                <w:szCs w:val="26"/>
                <w:lang w:bidi="en-US"/>
              </w:rPr>
              <w:t>These additional funds will allow for payment of both the administrative and management and the out-of-network pass through claims, the operational means for these services through the expiration of the contract.</w:t>
            </w:r>
          </w:p>
          <w:p w14:paraId="4EE51BF4" w14:textId="77777777" w:rsidR="00B51B04" w:rsidRPr="009A437B" w:rsidRDefault="00B51B04" w:rsidP="00B55900">
            <w:pPr>
              <w:pStyle w:val="NoSpacing"/>
              <w:jc w:val="both"/>
              <w:rPr>
                <w:rFonts w:ascii="Times New Roman" w:hAnsi="Times New Roman"/>
                <w:sz w:val="26"/>
                <w:szCs w:val="26"/>
              </w:rPr>
            </w:pPr>
          </w:p>
          <w:p w14:paraId="532EBAA5" w14:textId="77777777" w:rsidR="00EF5BC7" w:rsidRPr="00EF5BC7" w:rsidRDefault="00EF5BC7" w:rsidP="00EF5BC7">
            <w:pPr>
              <w:pStyle w:val="NoSpacing"/>
              <w:jc w:val="both"/>
              <w:rPr>
                <w:rFonts w:ascii="Times New Roman" w:hAnsi="Times New Roman"/>
                <w:bCs/>
                <w:sz w:val="26"/>
                <w:szCs w:val="26"/>
              </w:rPr>
            </w:pPr>
            <w:r w:rsidRPr="00EF5BC7">
              <w:rPr>
                <w:rFonts w:ascii="Times New Roman" w:hAnsi="Times New Roman"/>
                <w:bCs/>
                <w:sz w:val="26"/>
                <w:szCs w:val="26"/>
              </w:rPr>
              <w:t xml:space="preserve">The University of Illinois Physicians Group (UIPG) entered into an agreement with Blue Cross and Blue Shield (BCBS) of Illinois to facilitate the provision of covered services to Members in the BCBS HMOs and assigned to the UIPG. </w:t>
            </w:r>
            <w:bookmarkStart w:id="1" w:name="_Hlk80274481"/>
            <w:r w:rsidRPr="00EF5BC7">
              <w:rPr>
                <w:rFonts w:ascii="Times New Roman" w:hAnsi="Times New Roman"/>
                <w:bCs/>
                <w:sz w:val="26"/>
                <w:szCs w:val="26"/>
              </w:rPr>
              <w:t xml:space="preserve">This agreement generates ~$20 Million dollars in </w:t>
            </w:r>
            <w:r w:rsidRPr="00EF5BC7">
              <w:rPr>
                <w:rFonts w:ascii="Times New Roman" w:hAnsi="Times New Roman"/>
                <w:bCs/>
                <w:sz w:val="26"/>
                <w:szCs w:val="26"/>
              </w:rPr>
              <w:lastRenderedPageBreak/>
              <w:t>revenue to the University annually (from BCBS, in the form of capitation costs to cover all primary and specialty care services provided to the insureds; incentives for implementing various clinical quality Improvement initiatives intended to close care gaps; and reinsurance for excess coverage provided above standard coverages per member per year).</w:t>
            </w:r>
            <w:bookmarkEnd w:id="1"/>
            <w:r w:rsidRPr="00EF5BC7">
              <w:rPr>
                <w:rFonts w:ascii="Times New Roman" w:hAnsi="Times New Roman"/>
                <w:bCs/>
                <w:sz w:val="26"/>
                <w:szCs w:val="26"/>
              </w:rPr>
              <w:t xml:space="preserve"> </w:t>
            </w:r>
          </w:p>
          <w:p w14:paraId="42BB202A" w14:textId="77777777" w:rsidR="00EF5BC7" w:rsidRPr="00EF5BC7" w:rsidRDefault="00EF5BC7" w:rsidP="00EF5BC7">
            <w:pPr>
              <w:pStyle w:val="NoSpacing"/>
              <w:jc w:val="both"/>
              <w:rPr>
                <w:rFonts w:ascii="Times New Roman" w:hAnsi="Times New Roman"/>
                <w:bCs/>
                <w:sz w:val="26"/>
                <w:szCs w:val="26"/>
              </w:rPr>
            </w:pPr>
          </w:p>
          <w:p w14:paraId="1FCDBC08" w14:textId="77777777" w:rsidR="00EF5BC7" w:rsidRPr="00EF5BC7" w:rsidRDefault="00EF5BC7" w:rsidP="00EF5BC7">
            <w:pPr>
              <w:pStyle w:val="NoSpacing"/>
              <w:jc w:val="both"/>
              <w:rPr>
                <w:rFonts w:ascii="Times New Roman" w:hAnsi="Times New Roman"/>
                <w:sz w:val="26"/>
                <w:szCs w:val="26"/>
              </w:rPr>
            </w:pPr>
            <w:r w:rsidRPr="00EF5BC7">
              <w:rPr>
                <w:rFonts w:ascii="Times New Roman" w:hAnsi="Times New Roman"/>
                <w:sz w:val="26"/>
                <w:szCs w:val="26"/>
              </w:rPr>
              <w:t xml:space="preserve">Campus Care is the University of Illinois Chicago self-funded student health benefit plan which provides comprehensive healthcare benefits to eligible enrolled students and their covered dependents. The plan is funded by the member’s premium dollars only. </w:t>
            </w:r>
          </w:p>
          <w:p w14:paraId="32B35167" w14:textId="77777777" w:rsidR="00EF5BC7" w:rsidRPr="00EF5BC7" w:rsidRDefault="00EF5BC7" w:rsidP="00EF5BC7">
            <w:pPr>
              <w:pStyle w:val="NoSpacing"/>
              <w:jc w:val="both"/>
              <w:rPr>
                <w:rFonts w:ascii="Times New Roman" w:hAnsi="Times New Roman"/>
                <w:bCs/>
                <w:sz w:val="26"/>
                <w:szCs w:val="26"/>
                <w:lang w:bidi="en-US"/>
              </w:rPr>
            </w:pPr>
          </w:p>
          <w:p w14:paraId="2446B5BC" w14:textId="692EF338" w:rsidR="00EF5BC7" w:rsidRPr="00EF5BC7" w:rsidRDefault="00EF5BC7" w:rsidP="00EF5BC7">
            <w:pPr>
              <w:pStyle w:val="NoSpacing"/>
              <w:jc w:val="both"/>
              <w:rPr>
                <w:rFonts w:ascii="Times New Roman" w:hAnsi="Times New Roman"/>
                <w:bCs/>
                <w:sz w:val="26"/>
                <w:szCs w:val="26"/>
                <w:lang w:bidi="en-US"/>
              </w:rPr>
            </w:pPr>
            <w:r w:rsidRPr="00EF5BC7">
              <w:rPr>
                <w:rFonts w:ascii="Times New Roman" w:hAnsi="Times New Roman"/>
                <w:bCs/>
                <w:sz w:val="26"/>
                <w:szCs w:val="26"/>
                <w:lang w:bidi="en-US"/>
              </w:rPr>
              <w:t xml:space="preserve">In Fiscal Year 2018, the University issued a Request for Proposal for Administrative and Management Services under RFP# MEC218. The Administrative and Management </w:t>
            </w:r>
            <w:proofErr w:type="gramStart"/>
            <w:r w:rsidRPr="00EF5BC7">
              <w:rPr>
                <w:rFonts w:ascii="Times New Roman" w:hAnsi="Times New Roman"/>
                <w:bCs/>
                <w:sz w:val="26"/>
                <w:szCs w:val="26"/>
                <w:lang w:bidi="en-US"/>
              </w:rPr>
              <w:t>Services  include</w:t>
            </w:r>
            <w:proofErr w:type="gramEnd"/>
            <w:r w:rsidRPr="00EF5BC7">
              <w:rPr>
                <w:rFonts w:ascii="Times New Roman" w:hAnsi="Times New Roman"/>
                <w:bCs/>
                <w:sz w:val="26"/>
                <w:szCs w:val="26"/>
                <w:lang w:bidi="en-US"/>
              </w:rPr>
              <w:t xml:space="preserve"> health plan compliance; eligibility/enrollment</w:t>
            </w:r>
            <w:r w:rsidR="00720521">
              <w:rPr>
                <w:rFonts w:ascii="Times New Roman" w:hAnsi="Times New Roman"/>
                <w:bCs/>
                <w:sz w:val="26"/>
                <w:szCs w:val="26"/>
                <w:lang w:bidi="en-US"/>
              </w:rPr>
              <w:t xml:space="preserve"> </w:t>
            </w:r>
            <w:r w:rsidRPr="00EF5BC7">
              <w:rPr>
                <w:rFonts w:ascii="Times New Roman" w:hAnsi="Times New Roman"/>
                <w:bCs/>
                <w:sz w:val="26"/>
                <w:szCs w:val="26"/>
                <w:lang w:bidi="en-US"/>
              </w:rPr>
              <w:t xml:space="preserve">services; customer service; claims/encounter administration, information technology systems; utilization management; financial oversight; provider relations; and network management. </w:t>
            </w:r>
            <w:proofErr w:type="spellStart"/>
            <w:r w:rsidRPr="00EF5BC7">
              <w:rPr>
                <w:rFonts w:ascii="Times New Roman" w:hAnsi="Times New Roman"/>
                <w:bCs/>
                <w:sz w:val="26"/>
                <w:szCs w:val="26"/>
                <w:lang w:bidi="en-US"/>
              </w:rPr>
              <w:t>Innovista</w:t>
            </w:r>
            <w:proofErr w:type="spellEnd"/>
            <w:r w:rsidRPr="00EF5BC7">
              <w:rPr>
                <w:rFonts w:ascii="Times New Roman" w:hAnsi="Times New Roman"/>
                <w:bCs/>
                <w:sz w:val="26"/>
                <w:szCs w:val="26"/>
                <w:lang w:bidi="en-US"/>
              </w:rPr>
              <w:t xml:space="preserve"> Health Solutions was awarded the contract for a four-year period from December 1, 2017 through November 30, 2021 with the option to renew for one, 12-month term. </w:t>
            </w:r>
          </w:p>
          <w:p w14:paraId="47B6B48E" w14:textId="77777777" w:rsidR="00EF5BC7" w:rsidRPr="00EF5BC7" w:rsidRDefault="00EF5BC7" w:rsidP="005B43B5">
            <w:pPr>
              <w:pStyle w:val="NoSpacing"/>
              <w:jc w:val="both"/>
              <w:rPr>
                <w:rFonts w:ascii="Times New Roman" w:hAnsi="Times New Roman"/>
                <w:bCs/>
                <w:sz w:val="26"/>
                <w:szCs w:val="26"/>
                <w:lang w:bidi="en-US"/>
              </w:rPr>
            </w:pPr>
          </w:p>
          <w:p w14:paraId="47397B76" w14:textId="30539077" w:rsidR="00EF5BC7" w:rsidRDefault="00EF5BC7" w:rsidP="005B43B5">
            <w:pPr>
              <w:pStyle w:val="NoSpacing"/>
              <w:jc w:val="both"/>
              <w:rPr>
                <w:rFonts w:ascii="Times New Roman" w:hAnsi="Times New Roman"/>
                <w:bCs/>
                <w:sz w:val="26"/>
                <w:szCs w:val="26"/>
                <w:lang w:bidi="en-US"/>
              </w:rPr>
            </w:pPr>
            <w:r w:rsidRPr="00EF5BC7">
              <w:rPr>
                <w:rFonts w:ascii="Times New Roman" w:hAnsi="Times New Roman"/>
                <w:bCs/>
                <w:sz w:val="26"/>
                <w:szCs w:val="26"/>
                <w:lang w:bidi="en-US"/>
              </w:rPr>
              <w:t xml:space="preserve">The original award to </w:t>
            </w:r>
            <w:proofErr w:type="spellStart"/>
            <w:r w:rsidRPr="00EF5BC7">
              <w:rPr>
                <w:rFonts w:ascii="Times New Roman" w:hAnsi="Times New Roman"/>
                <w:bCs/>
                <w:sz w:val="26"/>
                <w:szCs w:val="26"/>
                <w:lang w:bidi="en-US"/>
              </w:rPr>
              <w:t>Innovista</w:t>
            </w:r>
            <w:proofErr w:type="spellEnd"/>
            <w:r w:rsidRPr="00EF5BC7">
              <w:rPr>
                <w:rFonts w:ascii="Times New Roman" w:hAnsi="Times New Roman"/>
                <w:bCs/>
                <w:sz w:val="26"/>
                <w:szCs w:val="26"/>
                <w:lang w:bidi="en-US"/>
              </w:rPr>
              <w:t xml:space="preserve"> was in the amount of $7,513,836 for the initial 4-year term, with one, 12-month renewal term. The awarded amount did not include the pass through of dollars for the increased out-of-network health insurance claims which are being requested through this change order.  </w:t>
            </w:r>
          </w:p>
          <w:p w14:paraId="10D9E718" w14:textId="77777777" w:rsidR="00EF5BC7" w:rsidRPr="00EF5BC7" w:rsidRDefault="00EF5BC7" w:rsidP="005B43B5">
            <w:pPr>
              <w:pStyle w:val="NoSpacing"/>
              <w:jc w:val="both"/>
              <w:rPr>
                <w:rFonts w:ascii="Times New Roman" w:hAnsi="Times New Roman"/>
                <w:bCs/>
                <w:sz w:val="26"/>
                <w:szCs w:val="26"/>
                <w:lang w:bidi="en-US"/>
              </w:rPr>
            </w:pPr>
          </w:p>
          <w:p w14:paraId="317B0E62" w14:textId="4ABF2FE4" w:rsidR="004369DE" w:rsidRPr="009A437B" w:rsidRDefault="00EF5BC7" w:rsidP="005B43B5">
            <w:pPr>
              <w:pStyle w:val="NoSpacing"/>
              <w:jc w:val="both"/>
              <w:rPr>
                <w:rFonts w:ascii="Times New Roman" w:hAnsi="Times New Roman"/>
                <w:sz w:val="26"/>
                <w:szCs w:val="26"/>
              </w:rPr>
            </w:pPr>
            <w:r w:rsidRPr="00EF5BC7">
              <w:rPr>
                <w:rFonts w:ascii="Times New Roman" w:hAnsi="Times New Roman"/>
                <w:sz w:val="26"/>
                <w:szCs w:val="26"/>
              </w:rPr>
              <w:t xml:space="preserve">The goal for BEP participation under RFP# MEC218 was 25% BEP and 0% Veteran-Owned Small Business Participation. </w:t>
            </w:r>
            <w:proofErr w:type="spellStart"/>
            <w:r w:rsidRPr="00EF5BC7">
              <w:rPr>
                <w:rFonts w:ascii="Times New Roman" w:hAnsi="Times New Roman"/>
                <w:sz w:val="26"/>
                <w:szCs w:val="26"/>
              </w:rPr>
              <w:t>Innovista</w:t>
            </w:r>
            <w:proofErr w:type="spellEnd"/>
            <w:r w:rsidRPr="00EF5BC7">
              <w:rPr>
                <w:rFonts w:ascii="Times New Roman" w:hAnsi="Times New Roman"/>
                <w:sz w:val="26"/>
                <w:szCs w:val="26"/>
              </w:rPr>
              <w:t xml:space="preserve"> Health Solutions identified and has been working with </w:t>
            </w:r>
            <w:proofErr w:type="spellStart"/>
            <w:r w:rsidRPr="00EF5BC7">
              <w:rPr>
                <w:rFonts w:ascii="Times New Roman" w:hAnsi="Times New Roman"/>
                <w:sz w:val="26"/>
                <w:szCs w:val="26"/>
              </w:rPr>
              <w:t>MXOTech</w:t>
            </w:r>
            <w:proofErr w:type="spellEnd"/>
            <w:r w:rsidRPr="00EF5BC7">
              <w:rPr>
                <w:rFonts w:ascii="Times New Roman" w:hAnsi="Times New Roman"/>
                <w:sz w:val="26"/>
                <w:szCs w:val="26"/>
              </w:rPr>
              <w:t xml:space="preserve">, Inc. which qualifies for </w:t>
            </w:r>
            <w:proofErr w:type="spellStart"/>
            <w:r w:rsidRPr="00EF5BC7">
              <w:rPr>
                <w:rFonts w:ascii="Times New Roman" w:hAnsi="Times New Roman"/>
                <w:sz w:val="26"/>
                <w:szCs w:val="26"/>
              </w:rPr>
              <w:t>BEP</w:t>
            </w:r>
            <w:proofErr w:type="spellEnd"/>
            <w:r w:rsidRPr="00EF5BC7">
              <w:rPr>
                <w:rFonts w:ascii="Times New Roman" w:hAnsi="Times New Roman"/>
                <w:sz w:val="26"/>
                <w:szCs w:val="26"/>
              </w:rPr>
              <w:t xml:space="preserve"> certification, however, </w:t>
            </w:r>
            <w:proofErr w:type="spellStart"/>
            <w:r w:rsidRPr="00EF5BC7">
              <w:rPr>
                <w:rFonts w:ascii="Times New Roman" w:hAnsi="Times New Roman"/>
                <w:sz w:val="26"/>
                <w:szCs w:val="26"/>
              </w:rPr>
              <w:t>Innovista</w:t>
            </w:r>
            <w:proofErr w:type="spellEnd"/>
            <w:r w:rsidRPr="00EF5BC7">
              <w:rPr>
                <w:rFonts w:ascii="Times New Roman" w:hAnsi="Times New Roman"/>
                <w:sz w:val="26"/>
                <w:szCs w:val="26"/>
              </w:rPr>
              <w:t xml:space="preserve"> was unaware that the sub-contractor was not actually BEP certified in the state of Illinois. The UIC Office of Procurement Diversity is currently working with </w:t>
            </w:r>
            <w:proofErr w:type="spellStart"/>
            <w:r w:rsidRPr="00EF5BC7">
              <w:rPr>
                <w:rFonts w:ascii="Times New Roman" w:hAnsi="Times New Roman"/>
                <w:sz w:val="26"/>
                <w:szCs w:val="26"/>
              </w:rPr>
              <w:t>Innovista</w:t>
            </w:r>
            <w:proofErr w:type="spellEnd"/>
            <w:r w:rsidRPr="00EF5BC7">
              <w:rPr>
                <w:rFonts w:ascii="Times New Roman" w:hAnsi="Times New Roman"/>
                <w:sz w:val="26"/>
                <w:szCs w:val="26"/>
              </w:rPr>
              <w:t xml:space="preserve"> and </w:t>
            </w:r>
            <w:proofErr w:type="spellStart"/>
            <w:r w:rsidRPr="00EF5BC7">
              <w:rPr>
                <w:rFonts w:ascii="Times New Roman" w:hAnsi="Times New Roman"/>
                <w:sz w:val="26"/>
                <w:szCs w:val="26"/>
              </w:rPr>
              <w:t>MXOTech</w:t>
            </w:r>
            <w:proofErr w:type="spellEnd"/>
            <w:r w:rsidRPr="00EF5BC7">
              <w:rPr>
                <w:rFonts w:ascii="Times New Roman" w:hAnsi="Times New Roman"/>
                <w:sz w:val="26"/>
                <w:szCs w:val="26"/>
              </w:rPr>
              <w:t>, Inc. to complete the BEP certification requirements for the State of Illinois so that this spend can be captured in the upcoming renewal term.</w:t>
            </w:r>
          </w:p>
        </w:tc>
      </w:tr>
      <w:tr w:rsidR="00334401" w:rsidRPr="009412F7" w14:paraId="729BD0A6" w14:textId="77777777" w:rsidTr="00F111A4">
        <w:trPr>
          <w:trHeight w:val="150"/>
        </w:trPr>
        <w:tc>
          <w:tcPr>
            <w:tcW w:w="432" w:type="dxa"/>
            <w:gridSpan w:val="2"/>
          </w:tcPr>
          <w:p w14:paraId="052932D6" w14:textId="77777777" w:rsidR="00334401" w:rsidRPr="009412F7" w:rsidRDefault="00334401" w:rsidP="00F111A4">
            <w:pPr>
              <w:spacing w:after="0" w:line="240" w:lineRule="auto"/>
              <w:rPr>
                <w:rFonts w:ascii="Times New Roman" w:hAnsi="Times New Roman"/>
                <w:sz w:val="26"/>
                <w:szCs w:val="26"/>
              </w:rPr>
            </w:pPr>
          </w:p>
        </w:tc>
        <w:tc>
          <w:tcPr>
            <w:tcW w:w="1170" w:type="dxa"/>
            <w:gridSpan w:val="2"/>
            <w:shd w:val="clear" w:color="auto" w:fill="auto"/>
          </w:tcPr>
          <w:p w14:paraId="188FF5BE" w14:textId="77777777" w:rsidR="00334401" w:rsidRPr="009412F7" w:rsidRDefault="00334401" w:rsidP="009412F7">
            <w:pPr>
              <w:pStyle w:val="NoSpacing"/>
              <w:rPr>
                <w:rFonts w:ascii="Times New Roman" w:hAnsi="Times New Roman"/>
                <w:sz w:val="26"/>
                <w:szCs w:val="26"/>
              </w:rPr>
            </w:pPr>
          </w:p>
        </w:tc>
        <w:tc>
          <w:tcPr>
            <w:tcW w:w="8100" w:type="dxa"/>
            <w:gridSpan w:val="2"/>
            <w:shd w:val="clear" w:color="auto" w:fill="auto"/>
          </w:tcPr>
          <w:p w14:paraId="65D334C2" w14:textId="77777777" w:rsidR="00334401" w:rsidRPr="00001C99" w:rsidRDefault="00334401" w:rsidP="009412F7">
            <w:pPr>
              <w:pStyle w:val="NoSpacing"/>
              <w:rPr>
                <w:rFonts w:ascii="Times New Roman" w:hAnsi="Times New Roman"/>
                <w:b/>
                <w:bCs/>
                <w:sz w:val="26"/>
                <w:szCs w:val="26"/>
              </w:rPr>
            </w:pPr>
          </w:p>
        </w:tc>
      </w:tr>
    </w:tbl>
    <w:p w14:paraId="33C686F8" w14:textId="4EF12ACA" w:rsidR="0076023D" w:rsidRPr="00792836" w:rsidRDefault="0076023D" w:rsidP="00B37520">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sz w:val="26"/>
          <w:szCs w:val="26"/>
        </w:rPr>
      </w:pPr>
    </w:p>
    <w:tbl>
      <w:tblPr>
        <w:tblpPr w:leftFromText="180" w:rightFromText="180" w:vertAnchor="text" w:horzAnchor="margin" w:tblpXSpec="center" w:tblpY="90"/>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5131"/>
        <w:gridCol w:w="1714"/>
      </w:tblGrid>
      <w:tr w:rsidR="00792836" w:rsidRPr="00792836" w14:paraId="0F237B4F" w14:textId="77777777" w:rsidTr="007D384F">
        <w:trPr>
          <w:cantSplit/>
          <w:trHeight w:val="272"/>
        </w:trPr>
        <w:tc>
          <w:tcPr>
            <w:tcW w:w="6845" w:type="dxa"/>
            <w:gridSpan w:val="2"/>
          </w:tcPr>
          <w:p w14:paraId="70768D9C" w14:textId="77777777" w:rsidR="009412F7" w:rsidRPr="007928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jc w:val="center"/>
              <w:textAlignment w:val="baseline"/>
              <w:rPr>
                <w:rFonts w:ascii="Times New Roman" w:eastAsia="Times New Roman" w:hAnsi="Times New Roman"/>
                <w:b/>
                <w:sz w:val="24"/>
                <w:szCs w:val="24"/>
              </w:rPr>
            </w:pPr>
            <w:r w:rsidRPr="00792836">
              <w:rPr>
                <w:rFonts w:ascii="Times New Roman" w:eastAsia="Times New Roman" w:hAnsi="Times New Roman"/>
                <w:b/>
                <w:sz w:val="24"/>
                <w:szCs w:val="24"/>
              </w:rPr>
              <w:t>SUMMARY OF PURCHASES</w:t>
            </w:r>
          </w:p>
        </w:tc>
      </w:tr>
      <w:tr w:rsidR="00792836" w:rsidRPr="00792836" w14:paraId="5EDFE55C" w14:textId="77777777" w:rsidTr="00BA01CD">
        <w:trPr>
          <w:trHeight w:val="341"/>
        </w:trPr>
        <w:tc>
          <w:tcPr>
            <w:tcW w:w="5131" w:type="dxa"/>
          </w:tcPr>
          <w:p w14:paraId="3006AE46" w14:textId="77777777" w:rsidR="009412F7" w:rsidRPr="00792836"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92836">
              <w:rPr>
                <w:rFonts w:ascii="Times New Roman" w:eastAsia="Times New Roman" w:hAnsi="Times New Roman"/>
                <w:sz w:val="26"/>
                <w:szCs w:val="26"/>
              </w:rPr>
              <w:t>University of Illinois at Chicago</w:t>
            </w:r>
          </w:p>
        </w:tc>
        <w:tc>
          <w:tcPr>
            <w:tcW w:w="1714" w:type="dxa"/>
          </w:tcPr>
          <w:p w14:paraId="0B588B2D" w14:textId="6803AB24" w:rsidR="009412F7" w:rsidRPr="00792836"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792836">
              <w:rPr>
                <w:rFonts w:ascii="Times New Roman" w:eastAsia="Times New Roman" w:hAnsi="Times New Roman"/>
                <w:sz w:val="26"/>
                <w:szCs w:val="26"/>
              </w:rPr>
              <w:t>$</w:t>
            </w:r>
            <w:r w:rsidR="00BA01CD" w:rsidRPr="00792836">
              <w:rPr>
                <w:rFonts w:ascii="Times New Roman" w:eastAsia="Times New Roman" w:hAnsi="Times New Roman"/>
                <w:sz w:val="26"/>
                <w:szCs w:val="26"/>
              </w:rPr>
              <w:t xml:space="preserve">  </w:t>
            </w:r>
            <w:r w:rsidR="00824CE7">
              <w:rPr>
                <w:rFonts w:ascii="Times New Roman" w:eastAsia="Times New Roman" w:hAnsi="Times New Roman"/>
                <w:sz w:val="26"/>
                <w:szCs w:val="26"/>
              </w:rPr>
              <w:t>55,000,000</w:t>
            </w:r>
            <w:proofErr w:type="gramEnd"/>
          </w:p>
        </w:tc>
      </w:tr>
      <w:tr w:rsidR="00792836" w:rsidRPr="00792836" w14:paraId="59F5414E" w14:textId="77777777" w:rsidTr="00BA01CD">
        <w:trPr>
          <w:trHeight w:val="304"/>
        </w:trPr>
        <w:tc>
          <w:tcPr>
            <w:tcW w:w="5131" w:type="dxa"/>
          </w:tcPr>
          <w:p w14:paraId="15C1B27C" w14:textId="77777777" w:rsidR="009412F7" w:rsidRPr="007928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92836">
              <w:rPr>
                <w:rFonts w:ascii="Times New Roman" w:eastAsia="Times New Roman" w:hAnsi="Times New Roman"/>
                <w:sz w:val="26"/>
                <w:szCs w:val="26"/>
              </w:rPr>
              <w:t>Recommended from Institutional Funds</w:t>
            </w:r>
          </w:p>
          <w:p w14:paraId="42E8EA0E" w14:textId="77777777" w:rsidR="009412F7" w:rsidRPr="007928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92836">
              <w:rPr>
                <w:rFonts w:ascii="Times New Roman" w:eastAsia="Times New Roman" w:hAnsi="Times New Roman"/>
                <w:sz w:val="26"/>
                <w:szCs w:val="26"/>
              </w:rPr>
              <w:t>Grand Total</w:t>
            </w:r>
          </w:p>
        </w:tc>
        <w:tc>
          <w:tcPr>
            <w:tcW w:w="1714" w:type="dxa"/>
          </w:tcPr>
          <w:p w14:paraId="7C67FEF6" w14:textId="77777777" w:rsidR="009412F7" w:rsidRPr="00792836"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CAD2871" w14:textId="6FF4957F" w:rsidR="009412F7" w:rsidRPr="00792836"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roofErr w:type="gramStart"/>
            <w:r w:rsidRPr="00792836">
              <w:rPr>
                <w:rFonts w:ascii="Times New Roman" w:eastAsia="Times New Roman" w:hAnsi="Times New Roman"/>
                <w:sz w:val="26"/>
                <w:szCs w:val="26"/>
              </w:rPr>
              <w:t>$</w:t>
            </w:r>
            <w:r w:rsidR="00824CE7">
              <w:rPr>
                <w:rFonts w:ascii="Times New Roman" w:eastAsia="Times New Roman" w:hAnsi="Times New Roman"/>
                <w:sz w:val="26"/>
                <w:szCs w:val="26"/>
              </w:rPr>
              <w:t xml:space="preserve">  55,000,000</w:t>
            </w:r>
            <w:proofErr w:type="gramEnd"/>
            <w:r w:rsidRPr="00792836">
              <w:rPr>
                <w:rFonts w:ascii="Times New Roman" w:eastAsia="Times New Roman" w:hAnsi="Times New Roman"/>
                <w:sz w:val="26"/>
                <w:szCs w:val="26"/>
              </w:rPr>
              <w:t xml:space="preserve"> </w:t>
            </w:r>
          </w:p>
        </w:tc>
      </w:tr>
      <w:tr w:rsidR="00792836" w:rsidRPr="00792836" w14:paraId="034CCEC1" w14:textId="77777777" w:rsidTr="00BA01CD">
        <w:trPr>
          <w:trHeight w:val="304"/>
        </w:trPr>
        <w:tc>
          <w:tcPr>
            <w:tcW w:w="5131" w:type="dxa"/>
          </w:tcPr>
          <w:p w14:paraId="6EDBDEB9" w14:textId="1DC1823D" w:rsidR="009412F7" w:rsidRPr="00792836" w:rsidRDefault="009412F7" w:rsidP="009412F7">
            <w:pPr>
              <w:overflowPunct w:val="0"/>
              <w:autoSpaceDE w:val="0"/>
              <w:autoSpaceDN w:val="0"/>
              <w:adjustRightInd w:val="0"/>
              <w:spacing w:after="0" w:line="240" w:lineRule="auto"/>
              <w:textAlignment w:val="baseline"/>
              <w:rPr>
                <w:rFonts w:ascii="Times New Roman" w:eastAsia="Times New Roman" w:hAnsi="Times New Roman"/>
                <w:b/>
                <w:sz w:val="26"/>
                <w:szCs w:val="26"/>
              </w:rPr>
            </w:pPr>
            <w:r w:rsidRPr="00792836">
              <w:rPr>
                <w:rFonts w:ascii="Times New Roman" w:eastAsia="Times New Roman" w:hAnsi="Times New Roman"/>
                <w:b/>
                <w:sz w:val="26"/>
                <w:szCs w:val="26"/>
              </w:rPr>
              <w:t>SUMMARY OF CHANGE ORDER</w:t>
            </w:r>
          </w:p>
        </w:tc>
        <w:tc>
          <w:tcPr>
            <w:tcW w:w="1714" w:type="dxa"/>
            <w:tcBorders>
              <w:top w:val="single" w:sz="4" w:space="0" w:color="808080"/>
            </w:tcBorders>
          </w:tcPr>
          <w:p w14:paraId="03FC5B72" w14:textId="77777777" w:rsidR="009412F7" w:rsidRPr="00792836"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p>
        </w:tc>
      </w:tr>
      <w:tr w:rsidR="00340BA4" w:rsidRPr="00792836" w14:paraId="3CFB92F0" w14:textId="77777777" w:rsidTr="00BA01CD">
        <w:trPr>
          <w:trHeight w:val="292"/>
        </w:trPr>
        <w:tc>
          <w:tcPr>
            <w:tcW w:w="5131" w:type="dxa"/>
          </w:tcPr>
          <w:p w14:paraId="551A4C57" w14:textId="08FD47D3" w:rsidR="00340BA4" w:rsidRPr="00792836" w:rsidRDefault="00340BA4" w:rsidP="009412F7">
            <w:pPr>
              <w:tabs>
                <w:tab w:val="left" w:pos="720"/>
                <w:tab w:val="left" w:pos="1440"/>
                <w:tab w:val="left" w:pos="2160"/>
                <w:tab w:val="left" w:pos="2880"/>
                <w:tab w:val="left" w:pos="3300"/>
              </w:tabs>
              <w:overflowPunct w:val="0"/>
              <w:autoSpaceDE w:val="0"/>
              <w:autoSpaceDN w:val="0"/>
              <w:adjustRightInd w:val="0"/>
              <w:spacing w:after="0" w:line="240" w:lineRule="auto"/>
              <w:textAlignment w:val="baseline"/>
              <w:rPr>
                <w:rFonts w:ascii="Times New Roman" w:hAnsi="Times New Roman"/>
                <w:sz w:val="26"/>
                <w:szCs w:val="26"/>
              </w:rPr>
            </w:pPr>
            <w:r>
              <w:rPr>
                <w:rFonts w:ascii="Times New Roman" w:hAnsi="Times New Roman"/>
                <w:sz w:val="26"/>
                <w:szCs w:val="26"/>
              </w:rPr>
              <w:t>University of Illinois at Urbana-Champaign</w:t>
            </w:r>
          </w:p>
        </w:tc>
        <w:tc>
          <w:tcPr>
            <w:tcW w:w="1714" w:type="dxa"/>
          </w:tcPr>
          <w:p w14:paraId="6CEF8CDB" w14:textId="71449AD3" w:rsidR="00340BA4" w:rsidRPr="00792836" w:rsidRDefault="00824CE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Pr>
                <w:rFonts w:ascii="Times New Roman" w:eastAsia="Times New Roman" w:hAnsi="Times New Roman"/>
                <w:sz w:val="26"/>
                <w:szCs w:val="26"/>
              </w:rPr>
              <w:t>$ 12,000,000</w:t>
            </w:r>
          </w:p>
        </w:tc>
      </w:tr>
      <w:tr w:rsidR="00792836" w:rsidRPr="00792836" w14:paraId="7DE57151" w14:textId="77777777" w:rsidTr="00BA01CD">
        <w:trPr>
          <w:trHeight w:val="292"/>
        </w:trPr>
        <w:tc>
          <w:tcPr>
            <w:tcW w:w="5131" w:type="dxa"/>
          </w:tcPr>
          <w:p w14:paraId="34A46747" w14:textId="388C5E16" w:rsidR="009412F7" w:rsidRPr="00792836" w:rsidRDefault="009412F7" w:rsidP="009412F7">
            <w:pPr>
              <w:tabs>
                <w:tab w:val="left" w:pos="720"/>
                <w:tab w:val="left" w:pos="1440"/>
                <w:tab w:val="left" w:pos="2160"/>
                <w:tab w:val="left" w:pos="2880"/>
                <w:tab w:val="left" w:pos="33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92836">
              <w:rPr>
                <w:rFonts w:ascii="Times New Roman" w:hAnsi="Times New Roman"/>
                <w:sz w:val="26"/>
                <w:szCs w:val="26"/>
              </w:rPr>
              <w:lastRenderedPageBreak/>
              <w:t>University of Illinois at Chicago</w:t>
            </w:r>
          </w:p>
        </w:tc>
        <w:tc>
          <w:tcPr>
            <w:tcW w:w="1714" w:type="dxa"/>
          </w:tcPr>
          <w:p w14:paraId="221AEC3C" w14:textId="47570AC2" w:rsidR="009412F7" w:rsidRPr="00792836" w:rsidRDefault="009412F7" w:rsidP="009412F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92836">
              <w:rPr>
                <w:rFonts w:ascii="Times New Roman" w:eastAsia="Times New Roman" w:hAnsi="Times New Roman"/>
                <w:sz w:val="26"/>
                <w:szCs w:val="26"/>
              </w:rPr>
              <w:t>$</w:t>
            </w:r>
            <w:r w:rsidR="00E22527">
              <w:rPr>
                <w:rFonts w:ascii="Times New Roman" w:eastAsia="Times New Roman" w:hAnsi="Times New Roman"/>
                <w:sz w:val="26"/>
                <w:szCs w:val="26"/>
              </w:rPr>
              <w:t xml:space="preserve"> </w:t>
            </w:r>
            <w:r w:rsidR="00824CE7">
              <w:rPr>
                <w:rFonts w:ascii="Times New Roman" w:eastAsia="Times New Roman" w:hAnsi="Times New Roman"/>
                <w:sz w:val="26"/>
                <w:szCs w:val="26"/>
              </w:rPr>
              <w:t>18,963,836</w:t>
            </w:r>
            <w:r w:rsidR="00E22527">
              <w:rPr>
                <w:rFonts w:ascii="Times New Roman" w:eastAsia="Times New Roman" w:hAnsi="Times New Roman"/>
                <w:sz w:val="26"/>
                <w:szCs w:val="26"/>
              </w:rPr>
              <w:t xml:space="preserve"> </w:t>
            </w:r>
          </w:p>
        </w:tc>
      </w:tr>
      <w:tr w:rsidR="00792836" w:rsidRPr="00792836" w14:paraId="13D1F8EB" w14:textId="77777777" w:rsidTr="00340BA4">
        <w:trPr>
          <w:trHeight w:val="45"/>
        </w:trPr>
        <w:tc>
          <w:tcPr>
            <w:tcW w:w="5131" w:type="dxa"/>
          </w:tcPr>
          <w:p w14:paraId="6639211E" w14:textId="08AF6110" w:rsidR="009412F7" w:rsidRPr="00792836" w:rsidRDefault="009412F7" w:rsidP="009412F7">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92836">
              <w:rPr>
                <w:rFonts w:ascii="Times New Roman" w:eastAsia="Times New Roman" w:hAnsi="Times New Roman"/>
                <w:sz w:val="26"/>
                <w:szCs w:val="26"/>
              </w:rPr>
              <w:t xml:space="preserve">Recommended from Institutional Funds Grand Total </w:t>
            </w:r>
          </w:p>
        </w:tc>
        <w:tc>
          <w:tcPr>
            <w:tcW w:w="1714" w:type="dxa"/>
          </w:tcPr>
          <w:p w14:paraId="0724AECB" w14:textId="77777777" w:rsidR="007D384F" w:rsidRPr="00792836" w:rsidRDefault="007D384F" w:rsidP="007D384F">
            <w:pPr>
              <w:overflowPunct w:val="0"/>
              <w:autoSpaceDE w:val="0"/>
              <w:autoSpaceDN w:val="0"/>
              <w:adjustRightInd w:val="0"/>
              <w:spacing w:after="0" w:line="240" w:lineRule="auto"/>
              <w:textAlignment w:val="baseline"/>
              <w:rPr>
                <w:rFonts w:ascii="Times New Roman" w:eastAsia="Times New Roman" w:hAnsi="Times New Roman"/>
                <w:sz w:val="26"/>
                <w:szCs w:val="26"/>
              </w:rPr>
            </w:pPr>
          </w:p>
          <w:p w14:paraId="38B85CEE" w14:textId="4AF3C341" w:rsidR="007D384F" w:rsidRPr="00792836" w:rsidRDefault="007D384F" w:rsidP="00824CE7">
            <w:pPr>
              <w:overflowPunct w:val="0"/>
              <w:autoSpaceDE w:val="0"/>
              <w:autoSpaceDN w:val="0"/>
              <w:adjustRightInd w:val="0"/>
              <w:spacing w:after="0" w:line="240" w:lineRule="auto"/>
              <w:textAlignment w:val="baseline"/>
              <w:rPr>
                <w:rFonts w:ascii="Times New Roman" w:eastAsia="Times New Roman" w:hAnsi="Times New Roman"/>
                <w:sz w:val="26"/>
                <w:szCs w:val="26"/>
              </w:rPr>
            </w:pPr>
            <w:r w:rsidRPr="00792836">
              <w:rPr>
                <w:rFonts w:ascii="Times New Roman" w:eastAsia="Times New Roman" w:hAnsi="Times New Roman"/>
                <w:sz w:val="26"/>
                <w:szCs w:val="26"/>
              </w:rPr>
              <w:t>$</w:t>
            </w:r>
            <w:r w:rsidR="00E22527">
              <w:rPr>
                <w:rFonts w:ascii="Times New Roman" w:eastAsia="Times New Roman" w:hAnsi="Times New Roman"/>
                <w:sz w:val="26"/>
                <w:szCs w:val="26"/>
              </w:rPr>
              <w:t xml:space="preserve"> </w:t>
            </w:r>
            <w:r w:rsidR="00824CE7">
              <w:rPr>
                <w:rFonts w:ascii="Times New Roman" w:eastAsia="Times New Roman" w:hAnsi="Times New Roman"/>
                <w:sz w:val="26"/>
                <w:szCs w:val="26"/>
              </w:rPr>
              <w:t>30,963,836</w:t>
            </w:r>
          </w:p>
        </w:tc>
      </w:tr>
    </w:tbl>
    <w:p w14:paraId="3A472772" w14:textId="77777777" w:rsidR="00AC1317" w:rsidRPr="009412F7" w:rsidRDefault="00AC1317" w:rsidP="00B37520">
      <w:pPr>
        <w:pStyle w:val="NoSpacing"/>
        <w:rPr>
          <w:rFonts w:ascii="Times New Roman" w:hAnsi="Times New Roman"/>
          <w:sz w:val="24"/>
          <w:szCs w:val="24"/>
        </w:rPr>
      </w:pPr>
    </w:p>
    <w:sectPr w:rsidR="00AC1317" w:rsidRPr="009412F7" w:rsidSect="00720521">
      <w:headerReference w:type="even" r:id="rId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852B3" w14:textId="77777777" w:rsidR="006671EA" w:rsidRDefault="006671EA" w:rsidP="00A817DF">
      <w:pPr>
        <w:spacing w:after="0" w:line="240" w:lineRule="auto"/>
      </w:pPr>
      <w:r>
        <w:separator/>
      </w:r>
    </w:p>
  </w:endnote>
  <w:endnote w:type="continuationSeparator" w:id="0">
    <w:p w14:paraId="33B388AA" w14:textId="77777777" w:rsidR="006671EA" w:rsidRDefault="006671EA" w:rsidP="00A81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D02B" w14:textId="77777777" w:rsidR="006671EA" w:rsidRDefault="006671EA" w:rsidP="00A817DF">
      <w:pPr>
        <w:spacing w:after="0" w:line="240" w:lineRule="auto"/>
      </w:pPr>
      <w:r>
        <w:separator/>
      </w:r>
    </w:p>
  </w:footnote>
  <w:footnote w:type="continuationSeparator" w:id="0">
    <w:p w14:paraId="2DF9EE82" w14:textId="77777777" w:rsidR="006671EA" w:rsidRDefault="006671EA" w:rsidP="00A81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07975962"/>
      <w:docPartObj>
        <w:docPartGallery w:val="Page Numbers (Top of Page)"/>
        <w:docPartUnique/>
      </w:docPartObj>
    </w:sdtPr>
    <w:sdtEndPr>
      <w:rPr>
        <w:rStyle w:val="PageNumber"/>
      </w:rPr>
    </w:sdtEndPr>
    <w:sdtContent>
      <w:p w14:paraId="00A8E0F3" w14:textId="16B1D906" w:rsidR="00720521" w:rsidRDefault="00720521" w:rsidP="00DF666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F1FDF9" w14:textId="77777777" w:rsidR="00720521" w:rsidRDefault="007205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1448275723"/>
      <w:docPartObj>
        <w:docPartGallery w:val="Page Numbers (Top of Page)"/>
        <w:docPartUnique/>
      </w:docPartObj>
    </w:sdtPr>
    <w:sdtEndPr>
      <w:rPr>
        <w:rStyle w:val="PageNumber"/>
      </w:rPr>
    </w:sdtEndPr>
    <w:sdtContent>
      <w:p w14:paraId="301A470D" w14:textId="2D2D3BBB" w:rsidR="00720521" w:rsidRPr="00720521" w:rsidRDefault="00720521" w:rsidP="00DF6669">
        <w:pPr>
          <w:pStyle w:val="Header"/>
          <w:framePr w:wrap="none" w:vAnchor="text" w:hAnchor="margin" w:xAlign="center" w:y="1"/>
          <w:rPr>
            <w:rStyle w:val="PageNumber"/>
            <w:rFonts w:ascii="Times New Roman" w:hAnsi="Times New Roman"/>
            <w:sz w:val="26"/>
            <w:szCs w:val="26"/>
          </w:rPr>
        </w:pPr>
        <w:r w:rsidRPr="00720521">
          <w:rPr>
            <w:rStyle w:val="PageNumber"/>
            <w:rFonts w:ascii="Times New Roman" w:hAnsi="Times New Roman"/>
            <w:sz w:val="26"/>
            <w:szCs w:val="26"/>
          </w:rPr>
          <w:fldChar w:fldCharType="begin"/>
        </w:r>
        <w:r w:rsidRPr="00720521">
          <w:rPr>
            <w:rStyle w:val="PageNumber"/>
            <w:rFonts w:ascii="Times New Roman" w:hAnsi="Times New Roman"/>
            <w:sz w:val="26"/>
            <w:szCs w:val="26"/>
          </w:rPr>
          <w:instrText xml:space="preserve"> PAGE </w:instrText>
        </w:r>
        <w:r w:rsidRPr="00720521">
          <w:rPr>
            <w:rStyle w:val="PageNumber"/>
            <w:rFonts w:ascii="Times New Roman" w:hAnsi="Times New Roman"/>
            <w:sz w:val="26"/>
            <w:szCs w:val="26"/>
          </w:rPr>
          <w:fldChar w:fldCharType="separate"/>
        </w:r>
        <w:r w:rsidRPr="00720521">
          <w:rPr>
            <w:rStyle w:val="PageNumber"/>
            <w:rFonts w:ascii="Times New Roman" w:hAnsi="Times New Roman"/>
            <w:noProof/>
            <w:sz w:val="26"/>
            <w:szCs w:val="26"/>
          </w:rPr>
          <w:t>2</w:t>
        </w:r>
        <w:r w:rsidRPr="00720521">
          <w:rPr>
            <w:rStyle w:val="PageNumber"/>
            <w:rFonts w:ascii="Times New Roman" w:hAnsi="Times New Roman"/>
            <w:sz w:val="26"/>
            <w:szCs w:val="26"/>
          </w:rPr>
          <w:fldChar w:fldCharType="end"/>
        </w:r>
      </w:p>
    </w:sdtContent>
  </w:sdt>
  <w:p w14:paraId="2D53F6F3" w14:textId="77777777" w:rsidR="00A817DF" w:rsidRPr="00720521" w:rsidRDefault="00A817DF">
    <w:pPr>
      <w:pStyle w:val="Header"/>
      <w:rPr>
        <w:rFonts w:ascii="Times New Roman" w:hAnsi="Times New Roman"/>
        <w:sz w:val="26"/>
        <w:szCs w:val="26"/>
      </w:rPr>
    </w:pPr>
    <w:r w:rsidRPr="00720521">
      <w:rPr>
        <w:rFonts w:ascii="Times New Roman" w:hAnsi="Times New Roman"/>
        <w:sz w:val="26"/>
        <w:szCs w:val="26"/>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2402" w:hanging="360"/>
      </w:pPr>
      <w:rPr>
        <w:rFonts w:ascii="Symbol" w:hAnsi="Symbol" w:cs="Symbol"/>
        <w:b w:val="0"/>
        <w:bCs w:val="0"/>
        <w:i w:val="0"/>
        <w:iCs w:val="0"/>
        <w:w w:val="100"/>
        <w:sz w:val="22"/>
        <w:szCs w:val="22"/>
      </w:rPr>
    </w:lvl>
    <w:lvl w:ilvl="1">
      <w:numFmt w:val="bullet"/>
      <w:lvlText w:val="•"/>
      <w:lvlJc w:val="left"/>
      <w:pPr>
        <w:ind w:left="3194" w:hanging="360"/>
      </w:pPr>
    </w:lvl>
    <w:lvl w:ilvl="2">
      <w:numFmt w:val="bullet"/>
      <w:lvlText w:val="•"/>
      <w:lvlJc w:val="left"/>
      <w:pPr>
        <w:ind w:left="3986" w:hanging="360"/>
      </w:pPr>
    </w:lvl>
    <w:lvl w:ilvl="3">
      <w:numFmt w:val="bullet"/>
      <w:lvlText w:val="•"/>
      <w:lvlJc w:val="left"/>
      <w:pPr>
        <w:ind w:left="4778" w:hanging="360"/>
      </w:pPr>
    </w:lvl>
    <w:lvl w:ilvl="4">
      <w:numFmt w:val="bullet"/>
      <w:lvlText w:val="•"/>
      <w:lvlJc w:val="left"/>
      <w:pPr>
        <w:ind w:left="5570" w:hanging="360"/>
      </w:pPr>
    </w:lvl>
    <w:lvl w:ilvl="5">
      <w:numFmt w:val="bullet"/>
      <w:lvlText w:val="•"/>
      <w:lvlJc w:val="left"/>
      <w:pPr>
        <w:ind w:left="6362" w:hanging="360"/>
      </w:pPr>
    </w:lvl>
    <w:lvl w:ilvl="6">
      <w:numFmt w:val="bullet"/>
      <w:lvlText w:val="•"/>
      <w:lvlJc w:val="left"/>
      <w:pPr>
        <w:ind w:left="7154" w:hanging="360"/>
      </w:pPr>
    </w:lvl>
    <w:lvl w:ilvl="7">
      <w:numFmt w:val="bullet"/>
      <w:lvlText w:val="•"/>
      <w:lvlJc w:val="left"/>
      <w:pPr>
        <w:ind w:left="7946" w:hanging="360"/>
      </w:pPr>
    </w:lvl>
    <w:lvl w:ilvl="8">
      <w:numFmt w:val="bullet"/>
      <w:lvlText w:val="•"/>
      <w:lvlJc w:val="left"/>
      <w:pPr>
        <w:ind w:left="8738" w:hanging="360"/>
      </w:pPr>
    </w:lvl>
  </w:abstractNum>
  <w:abstractNum w:abstractNumId="1" w15:restartNumberingAfterBreak="0">
    <w:nsid w:val="0E950B53"/>
    <w:multiLevelType w:val="hybridMultilevel"/>
    <w:tmpl w:val="1B4EC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DE3068"/>
    <w:multiLevelType w:val="hybridMultilevel"/>
    <w:tmpl w:val="7554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C6681"/>
    <w:multiLevelType w:val="hybridMultilevel"/>
    <w:tmpl w:val="BC7447A2"/>
    <w:lvl w:ilvl="0" w:tplc="648A6240">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3053FA"/>
    <w:multiLevelType w:val="hybridMultilevel"/>
    <w:tmpl w:val="D1D6A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06EBD"/>
    <w:multiLevelType w:val="hybridMultilevel"/>
    <w:tmpl w:val="36D01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CF41188"/>
    <w:multiLevelType w:val="hybridMultilevel"/>
    <w:tmpl w:val="90CEB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57020F"/>
    <w:multiLevelType w:val="hybridMultilevel"/>
    <w:tmpl w:val="2CAC42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8" w15:restartNumberingAfterBreak="0">
    <w:nsid w:val="416E62C8"/>
    <w:multiLevelType w:val="hybridMultilevel"/>
    <w:tmpl w:val="A9BAE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2F42F5"/>
    <w:multiLevelType w:val="hybridMultilevel"/>
    <w:tmpl w:val="CFC090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F837DF"/>
    <w:multiLevelType w:val="hybridMultilevel"/>
    <w:tmpl w:val="A72CB47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A792FD9"/>
    <w:multiLevelType w:val="hybridMultilevel"/>
    <w:tmpl w:val="4378D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C75BC"/>
    <w:multiLevelType w:val="hybridMultilevel"/>
    <w:tmpl w:val="0866810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CA0"/>
    <w:multiLevelType w:val="hybridMultilevel"/>
    <w:tmpl w:val="C8DC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96DB1"/>
    <w:multiLevelType w:val="hybridMultilevel"/>
    <w:tmpl w:val="EBFE0C48"/>
    <w:lvl w:ilvl="0" w:tplc="02E0B01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6138E9"/>
    <w:multiLevelType w:val="hybridMultilevel"/>
    <w:tmpl w:val="021C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DB50BE"/>
    <w:multiLevelType w:val="hybridMultilevel"/>
    <w:tmpl w:val="B7282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4"/>
  </w:num>
  <w:num w:numId="5">
    <w:abstractNumId w:val="1"/>
  </w:num>
  <w:num w:numId="6">
    <w:abstractNumId w:val="6"/>
  </w:num>
  <w:num w:numId="7">
    <w:abstractNumId w:val="9"/>
  </w:num>
  <w:num w:numId="8">
    <w:abstractNumId w:val="16"/>
  </w:num>
  <w:num w:numId="9">
    <w:abstractNumId w:val="8"/>
  </w:num>
  <w:num w:numId="10">
    <w:abstractNumId w:val="5"/>
  </w:num>
  <w:num w:numId="11">
    <w:abstractNumId w:val="2"/>
  </w:num>
  <w:num w:numId="12">
    <w:abstractNumId w:val="3"/>
  </w:num>
  <w:num w:numId="13">
    <w:abstractNumId w:val="10"/>
  </w:num>
  <w:num w:numId="14">
    <w:abstractNumId w:val="13"/>
  </w:num>
  <w:num w:numId="15">
    <w:abstractNumId w:val="7"/>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C45"/>
    <w:rsid w:val="00001C99"/>
    <w:rsid w:val="00012052"/>
    <w:rsid w:val="00045D69"/>
    <w:rsid w:val="00050736"/>
    <w:rsid w:val="000671B9"/>
    <w:rsid w:val="00072FC2"/>
    <w:rsid w:val="00081788"/>
    <w:rsid w:val="00081B16"/>
    <w:rsid w:val="000833FC"/>
    <w:rsid w:val="00085CAE"/>
    <w:rsid w:val="00086CBF"/>
    <w:rsid w:val="00091912"/>
    <w:rsid w:val="00097157"/>
    <w:rsid w:val="000B69D6"/>
    <w:rsid w:val="000C1DE5"/>
    <w:rsid w:val="000C6006"/>
    <w:rsid w:val="000E1034"/>
    <w:rsid w:val="00124B96"/>
    <w:rsid w:val="00141D9C"/>
    <w:rsid w:val="0016200E"/>
    <w:rsid w:val="00162A4C"/>
    <w:rsid w:val="00172D76"/>
    <w:rsid w:val="00184765"/>
    <w:rsid w:val="001A4080"/>
    <w:rsid w:val="001A5F67"/>
    <w:rsid w:val="001B2AC1"/>
    <w:rsid w:val="001B4D8B"/>
    <w:rsid w:val="001B509E"/>
    <w:rsid w:val="001B762B"/>
    <w:rsid w:val="001D3AA7"/>
    <w:rsid w:val="001D78B4"/>
    <w:rsid w:val="001F3416"/>
    <w:rsid w:val="001F3C70"/>
    <w:rsid w:val="0021646C"/>
    <w:rsid w:val="00227A08"/>
    <w:rsid w:val="00241688"/>
    <w:rsid w:val="0024234E"/>
    <w:rsid w:val="00250572"/>
    <w:rsid w:val="00250D83"/>
    <w:rsid w:val="00264C63"/>
    <w:rsid w:val="00283AEB"/>
    <w:rsid w:val="002870E8"/>
    <w:rsid w:val="002931FB"/>
    <w:rsid w:val="002A5B7D"/>
    <w:rsid w:val="002B66B6"/>
    <w:rsid w:val="002B7C93"/>
    <w:rsid w:val="002D0113"/>
    <w:rsid w:val="002D28AA"/>
    <w:rsid w:val="002D35E7"/>
    <w:rsid w:val="002E0B93"/>
    <w:rsid w:val="002F4DAF"/>
    <w:rsid w:val="003045AE"/>
    <w:rsid w:val="00315A3D"/>
    <w:rsid w:val="003175D4"/>
    <w:rsid w:val="00333ECF"/>
    <w:rsid w:val="00334401"/>
    <w:rsid w:val="003376C9"/>
    <w:rsid w:val="00340BA4"/>
    <w:rsid w:val="00354F4E"/>
    <w:rsid w:val="00372028"/>
    <w:rsid w:val="00390FC0"/>
    <w:rsid w:val="0039204D"/>
    <w:rsid w:val="003947FA"/>
    <w:rsid w:val="00395D90"/>
    <w:rsid w:val="003A175C"/>
    <w:rsid w:val="003A2088"/>
    <w:rsid w:val="003D06D9"/>
    <w:rsid w:val="003D5357"/>
    <w:rsid w:val="003E14BF"/>
    <w:rsid w:val="003E42E4"/>
    <w:rsid w:val="003F3C8D"/>
    <w:rsid w:val="003F4DDE"/>
    <w:rsid w:val="00425BB7"/>
    <w:rsid w:val="004369DE"/>
    <w:rsid w:val="00457CDE"/>
    <w:rsid w:val="00470228"/>
    <w:rsid w:val="0047290A"/>
    <w:rsid w:val="00481670"/>
    <w:rsid w:val="0048342A"/>
    <w:rsid w:val="004A7669"/>
    <w:rsid w:val="004A7B2E"/>
    <w:rsid w:val="004C0608"/>
    <w:rsid w:val="004C43B8"/>
    <w:rsid w:val="004E2F4F"/>
    <w:rsid w:val="004F67F1"/>
    <w:rsid w:val="005122F2"/>
    <w:rsid w:val="005145D8"/>
    <w:rsid w:val="00517741"/>
    <w:rsid w:val="00525D4A"/>
    <w:rsid w:val="00526A44"/>
    <w:rsid w:val="00537F38"/>
    <w:rsid w:val="00542702"/>
    <w:rsid w:val="00552EB0"/>
    <w:rsid w:val="0057172C"/>
    <w:rsid w:val="00573A23"/>
    <w:rsid w:val="005745EF"/>
    <w:rsid w:val="005B43B5"/>
    <w:rsid w:val="005D08FB"/>
    <w:rsid w:val="005D6E7E"/>
    <w:rsid w:val="00602119"/>
    <w:rsid w:val="0060572F"/>
    <w:rsid w:val="006059B6"/>
    <w:rsid w:val="00610227"/>
    <w:rsid w:val="00631E2A"/>
    <w:rsid w:val="00652B42"/>
    <w:rsid w:val="00664CE2"/>
    <w:rsid w:val="006671EA"/>
    <w:rsid w:val="006718D0"/>
    <w:rsid w:val="0067529E"/>
    <w:rsid w:val="00694F56"/>
    <w:rsid w:val="00696A30"/>
    <w:rsid w:val="006A2B59"/>
    <w:rsid w:val="006A498C"/>
    <w:rsid w:val="006A4FD8"/>
    <w:rsid w:val="006A77EA"/>
    <w:rsid w:val="006B5C9F"/>
    <w:rsid w:val="006C5858"/>
    <w:rsid w:val="006E2C01"/>
    <w:rsid w:val="006F4DF5"/>
    <w:rsid w:val="00720521"/>
    <w:rsid w:val="00725DF2"/>
    <w:rsid w:val="00755CE8"/>
    <w:rsid w:val="0076023D"/>
    <w:rsid w:val="0076251E"/>
    <w:rsid w:val="007666D1"/>
    <w:rsid w:val="0077417A"/>
    <w:rsid w:val="00777270"/>
    <w:rsid w:val="00780A50"/>
    <w:rsid w:val="00790C45"/>
    <w:rsid w:val="00792836"/>
    <w:rsid w:val="007928FD"/>
    <w:rsid w:val="007A02CB"/>
    <w:rsid w:val="007C284B"/>
    <w:rsid w:val="007C715E"/>
    <w:rsid w:val="007D0301"/>
    <w:rsid w:val="007D2DAF"/>
    <w:rsid w:val="007D384F"/>
    <w:rsid w:val="007F0D35"/>
    <w:rsid w:val="007F1BA7"/>
    <w:rsid w:val="007F6860"/>
    <w:rsid w:val="00800461"/>
    <w:rsid w:val="00803F05"/>
    <w:rsid w:val="00804CCE"/>
    <w:rsid w:val="00806DE8"/>
    <w:rsid w:val="00822060"/>
    <w:rsid w:val="00824193"/>
    <w:rsid w:val="00824CE7"/>
    <w:rsid w:val="00837CEB"/>
    <w:rsid w:val="00850E03"/>
    <w:rsid w:val="00852D8E"/>
    <w:rsid w:val="00856201"/>
    <w:rsid w:val="00861B2A"/>
    <w:rsid w:val="00862ECF"/>
    <w:rsid w:val="00865FBB"/>
    <w:rsid w:val="008667B4"/>
    <w:rsid w:val="0088073D"/>
    <w:rsid w:val="00896404"/>
    <w:rsid w:val="008A5F5A"/>
    <w:rsid w:val="008D3D78"/>
    <w:rsid w:val="009140AC"/>
    <w:rsid w:val="009239A5"/>
    <w:rsid w:val="00937704"/>
    <w:rsid w:val="009412F7"/>
    <w:rsid w:val="009433E2"/>
    <w:rsid w:val="0094759E"/>
    <w:rsid w:val="00947D9A"/>
    <w:rsid w:val="00951987"/>
    <w:rsid w:val="00971118"/>
    <w:rsid w:val="00996840"/>
    <w:rsid w:val="009A437B"/>
    <w:rsid w:val="009B1FAA"/>
    <w:rsid w:val="009C04C5"/>
    <w:rsid w:val="009C2079"/>
    <w:rsid w:val="009D191D"/>
    <w:rsid w:val="009D210B"/>
    <w:rsid w:val="009D3A58"/>
    <w:rsid w:val="009D6C8E"/>
    <w:rsid w:val="009E6403"/>
    <w:rsid w:val="009F54F9"/>
    <w:rsid w:val="009F7098"/>
    <w:rsid w:val="009F7C35"/>
    <w:rsid w:val="00A104DD"/>
    <w:rsid w:val="00A10CC8"/>
    <w:rsid w:val="00A11DA2"/>
    <w:rsid w:val="00A14FD3"/>
    <w:rsid w:val="00A15B6B"/>
    <w:rsid w:val="00A16291"/>
    <w:rsid w:val="00A266E0"/>
    <w:rsid w:val="00A4643B"/>
    <w:rsid w:val="00A612B3"/>
    <w:rsid w:val="00A726CE"/>
    <w:rsid w:val="00A72D4D"/>
    <w:rsid w:val="00A817DF"/>
    <w:rsid w:val="00A9006A"/>
    <w:rsid w:val="00A940F7"/>
    <w:rsid w:val="00A96331"/>
    <w:rsid w:val="00AA6905"/>
    <w:rsid w:val="00AB3F1D"/>
    <w:rsid w:val="00AB46BD"/>
    <w:rsid w:val="00AB5E95"/>
    <w:rsid w:val="00AC1317"/>
    <w:rsid w:val="00AC2DA1"/>
    <w:rsid w:val="00AE5100"/>
    <w:rsid w:val="00AE655F"/>
    <w:rsid w:val="00AE7E41"/>
    <w:rsid w:val="00AF1920"/>
    <w:rsid w:val="00B07E57"/>
    <w:rsid w:val="00B16D5F"/>
    <w:rsid w:val="00B175A3"/>
    <w:rsid w:val="00B34107"/>
    <w:rsid w:val="00B37520"/>
    <w:rsid w:val="00B51B04"/>
    <w:rsid w:val="00B53ECD"/>
    <w:rsid w:val="00B55900"/>
    <w:rsid w:val="00B57AE3"/>
    <w:rsid w:val="00B64FF8"/>
    <w:rsid w:val="00B7436F"/>
    <w:rsid w:val="00B74CD2"/>
    <w:rsid w:val="00B75F06"/>
    <w:rsid w:val="00B81529"/>
    <w:rsid w:val="00B93AC4"/>
    <w:rsid w:val="00B973C4"/>
    <w:rsid w:val="00BA01CD"/>
    <w:rsid w:val="00BA1D2D"/>
    <w:rsid w:val="00BA1FD0"/>
    <w:rsid w:val="00BA31FA"/>
    <w:rsid w:val="00BA6CAF"/>
    <w:rsid w:val="00BF3F6D"/>
    <w:rsid w:val="00C15633"/>
    <w:rsid w:val="00C16DFA"/>
    <w:rsid w:val="00C236D2"/>
    <w:rsid w:val="00C413AA"/>
    <w:rsid w:val="00C41497"/>
    <w:rsid w:val="00C54A45"/>
    <w:rsid w:val="00C56EDF"/>
    <w:rsid w:val="00C70B26"/>
    <w:rsid w:val="00C754ED"/>
    <w:rsid w:val="00CB625C"/>
    <w:rsid w:val="00CD4B28"/>
    <w:rsid w:val="00CE657C"/>
    <w:rsid w:val="00CF0EC5"/>
    <w:rsid w:val="00CF6C35"/>
    <w:rsid w:val="00CF7DF5"/>
    <w:rsid w:val="00D058D4"/>
    <w:rsid w:val="00D20988"/>
    <w:rsid w:val="00D223A5"/>
    <w:rsid w:val="00D2252D"/>
    <w:rsid w:val="00D33D9D"/>
    <w:rsid w:val="00D60019"/>
    <w:rsid w:val="00D71BB4"/>
    <w:rsid w:val="00D87F39"/>
    <w:rsid w:val="00D92467"/>
    <w:rsid w:val="00DB1DE3"/>
    <w:rsid w:val="00DB4DB5"/>
    <w:rsid w:val="00DC158F"/>
    <w:rsid w:val="00DD2502"/>
    <w:rsid w:val="00E026AB"/>
    <w:rsid w:val="00E22527"/>
    <w:rsid w:val="00E3408D"/>
    <w:rsid w:val="00E50F57"/>
    <w:rsid w:val="00E514CA"/>
    <w:rsid w:val="00E575F1"/>
    <w:rsid w:val="00E612F0"/>
    <w:rsid w:val="00E805DA"/>
    <w:rsid w:val="00EC4354"/>
    <w:rsid w:val="00EC5861"/>
    <w:rsid w:val="00EF33AD"/>
    <w:rsid w:val="00EF47C6"/>
    <w:rsid w:val="00EF5BC7"/>
    <w:rsid w:val="00F03156"/>
    <w:rsid w:val="00F073A6"/>
    <w:rsid w:val="00F111A4"/>
    <w:rsid w:val="00F13CFE"/>
    <w:rsid w:val="00F3108F"/>
    <w:rsid w:val="00F376EB"/>
    <w:rsid w:val="00F37A72"/>
    <w:rsid w:val="00F41ABD"/>
    <w:rsid w:val="00F4322A"/>
    <w:rsid w:val="00F563D3"/>
    <w:rsid w:val="00F61739"/>
    <w:rsid w:val="00F76F2F"/>
    <w:rsid w:val="00F77A9C"/>
    <w:rsid w:val="00F850EF"/>
    <w:rsid w:val="00F85E11"/>
    <w:rsid w:val="00F9536A"/>
    <w:rsid w:val="00FA423B"/>
    <w:rsid w:val="00FA7B6A"/>
    <w:rsid w:val="00FB766B"/>
    <w:rsid w:val="00FC4CA9"/>
    <w:rsid w:val="00FD1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D80"/>
  <w15:chartTrackingRefBased/>
  <w15:docId w15:val="{E0E35B74-C5BD-44E8-B1D7-649BC816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qFormat/>
    <w:rsid w:val="001B2AC1"/>
    <w:pPr>
      <w:keepNext/>
      <w:spacing w:before="240" w:after="60" w:line="240" w:lineRule="auto"/>
      <w:outlineLvl w:val="1"/>
    </w:pPr>
    <w:rPr>
      <w:rFonts w:ascii="Cambria" w:eastAsia="Times New Roman" w:hAnsi="Cambria"/>
      <w:b/>
      <w:bCs/>
      <w:i/>
      <w:iCs/>
      <w:sz w:val="28"/>
      <w:szCs w:val="28"/>
    </w:rPr>
  </w:style>
  <w:style w:type="paragraph" w:styleId="Heading4">
    <w:name w:val="heading 4"/>
    <w:basedOn w:val="Normal"/>
    <w:next w:val="Normal"/>
    <w:link w:val="Heading4Char"/>
    <w:qFormat/>
    <w:rsid w:val="002D0113"/>
    <w:pPr>
      <w:keepNext/>
      <w:spacing w:before="240" w:after="60" w:line="240" w:lineRule="auto"/>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317"/>
    <w:rPr>
      <w:sz w:val="22"/>
      <w:szCs w:val="22"/>
    </w:rPr>
  </w:style>
  <w:style w:type="character" w:customStyle="1" w:styleId="Heading2Char">
    <w:name w:val="Heading 2 Char"/>
    <w:link w:val="Heading2"/>
    <w:rsid w:val="001B2AC1"/>
    <w:rPr>
      <w:rFonts w:ascii="Cambria" w:eastAsia="Times New Roman" w:hAnsi="Cambria"/>
      <w:b/>
      <w:bCs/>
      <w:i/>
      <w:iCs/>
      <w:sz w:val="28"/>
      <w:szCs w:val="28"/>
    </w:rPr>
  </w:style>
  <w:style w:type="paragraph" w:customStyle="1" w:styleId="StyleLeft081">
    <w:name w:val="Style Left:  0.81&quot;"/>
    <w:basedOn w:val="Normal"/>
    <w:rsid w:val="007928FD"/>
    <w:pPr>
      <w:widowControl w:val="0"/>
      <w:autoSpaceDE w:val="0"/>
      <w:autoSpaceDN w:val="0"/>
      <w:adjustRightInd w:val="0"/>
      <w:spacing w:after="0" w:line="240" w:lineRule="auto"/>
      <w:ind w:left="1170"/>
    </w:pPr>
    <w:rPr>
      <w:rFonts w:ascii="Arial" w:eastAsia="Times New Roman" w:hAnsi="Arial"/>
      <w:sz w:val="24"/>
      <w:szCs w:val="20"/>
    </w:rPr>
  </w:style>
  <w:style w:type="character" w:styleId="CommentReference">
    <w:name w:val="annotation reference"/>
    <w:rsid w:val="00E50F57"/>
    <w:rPr>
      <w:sz w:val="16"/>
      <w:szCs w:val="16"/>
    </w:rPr>
  </w:style>
  <w:style w:type="paragraph" w:styleId="CommentText">
    <w:name w:val="annotation text"/>
    <w:basedOn w:val="Normal"/>
    <w:link w:val="CommentTextChar"/>
    <w:rsid w:val="00E50F57"/>
    <w:pPr>
      <w:spacing w:after="0" w:line="240" w:lineRule="auto"/>
      <w:jc w:val="both"/>
    </w:pPr>
    <w:rPr>
      <w:rFonts w:ascii="Times New Roman" w:eastAsia="Times New Roman" w:hAnsi="Times New Roman"/>
      <w:sz w:val="20"/>
      <w:szCs w:val="20"/>
    </w:rPr>
  </w:style>
  <w:style w:type="character" w:customStyle="1" w:styleId="CommentTextChar">
    <w:name w:val="Comment Text Char"/>
    <w:link w:val="CommentText"/>
    <w:rsid w:val="00E50F57"/>
    <w:rPr>
      <w:rFonts w:ascii="Times New Roman" w:eastAsia="Times New Roman" w:hAnsi="Times New Roman"/>
    </w:rPr>
  </w:style>
  <w:style w:type="paragraph" w:styleId="BalloonText">
    <w:name w:val="Balloon Text"/>
    <w:basedOn w:val="Normal"/>
    <w:link w:val="BalloonTextChar"/>
    <w:uiPriority w:val="99"/>
    <w:semiHidden/>
    <w:unhideWhenUsed/>
    <w:rsid w:val="00E50F5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50F57"/>
    <w:rPr>
      <w:rFonts w:ascii="Segoe UI" w:hAnsi="Segoe UI" w:cs="Segoe UI"/>
      <w:sz w:val="18"/>
      <w:szCs w:val="18"/>
    </w:rPr>
  </w:style>
  <w:style w:type="paragraph" w:styleId="Header">
    <w:name w:val="header"/>
    <w:basedOn w:val="Normal"/>
    <w:link w:val="HeaderChar"/>
    <w:uiPriority w:val="99"/>
    <w:unhideWhenUsed/>
    <w:rsid w:val="00A817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DF"/>
    <w:rPr>
      <w:sz w:val="22"/>
      <w:szCs w:val="22"/>
    </w:rPr>
  </w:style>
  <w:style w:type="paragraph" w:styleId="Footer">
    <w:name w:val="footer"/>
    <w:basedOn w:val="Normal"/>
    <w:link w:val="FooterChar"/>
    <w:uiPriority w:val="99"/>
    <w:unhideWhenUsed/>
    <w:rsid w:val="00A81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DF"/>
    <w:rPr>
      <w:sz w:val="22"/>
      <w:szCs w:val="22"/>
    </w:rPr>
  </w:style>
  <w:style w:type="paragraph" w:styleId="CommentSubject">
    <w:name w:val="annotation subject"/>
    <w:basedOn w:val="CommentText"/>
    <w:next w:val="CommentText"/>
    <w:link w:val="CommentSubjectChar"/>
    <w:uiPriority w:val="99"/>
    <w:semiHidden/>
    <w:unhideWhenUsed/>
    <w:rsid w:val="00694F56"/>
    <w:pPr>
      <w:spacing w:after="160"/>
      <w:jc w:val="left"/>
    </w:pPr>
    <w:rPr>
      <w:rFonts w:ascii="Calibri" w:eastAsia="Calibri" w:hAnsi="Calibri"/>
      <w:b/>
      <w:bCs/>
    </w:rPr>
  </w:style>
  <w:style w:type="character" w:customStyle="1" w:styleId="CommentSubjectChar">
    <w:name w:val="Comment Subject Char"/>
    <w:basedOn w:val="CommentTextChar"/>
    <w:link w:val="CommentSubject"/>
    <w:uiPriority w:val="99"/>
    <w:semiHidden/>
    <w:rsid w:val="00694F56"/>
    <w:rPr>
      <w:rFonts w:ascii="Times New Roman" w:eastAsia="Times New Roman" w:hAnsi="Times New Roman"/>
      <w:b/>
      <w:bCs/>
    </w:rPr>
  </w:style>
  <w:style w:type="paragraph" w:customStyle="1" w:styleId="WPDefaults">
    <w:name w:val="WP Defaults"/>
    <w:rsid w:val="00B559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eastAsia="Times New Roman" w:hAnsi="Courier"/>
      <w:color w:val="000000"/>
      <w:sz w:val="24"/>
    </w:rPr>
  </w:style>
  <w:style w:type="character" w:customStyle="1" w:styleId="Heading4Char">
    <w:name w:val="Heading 4 Char"/>
    <w:basedOn w:val="DefaultParagraphFont"/>
    <w:link w:val="Heading4"/>
    <w:rsid w:val="002D0113"/>
    <w:rPr>
      <w:rFonts w:ascii="Times New Roman" w:eastAsia="Times New Roman" w:hAnsi="Times New Roman"/>
      <w:b/>
      <w:bCs/>
      <w:sz w:val="28"/>
      <w:szCs w:val="28"/>
    </w:rPr>
  </w:style>
  <w:style w:type="table" w:styleId="TableGrid">
    <w:name w:val="Table Grid"/>
    <w:basedOn w:val="TableNormal"/>
    <w:uiPriority w:val="39"/>
    <w:rsid w:val="00837CE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7D384F"/>
    <w:pPr>
      <w:overflowPunct w:val="0"/>
      <w:autoSpaceDE w:val="0"/>
      <w:autoSpaceDN w:val="0"/>
      <w:adjustRightInd w:val="0"/>
      <w:spacing w:after="0" w:line="240" w:lineRule="auto"/>
      <w:ind w:left="720"/>
      <w:textAlignment w:val="baseline"/>
    </w:pPr>
    <w:rPr>
      <w:rFonts w:ascii="Times New Roman" w:eastAsia="Times New Roman" w:hAnsi="Times New Roman"/>
      <w:sz w:val="24"/>
      <w:szCs w:val="20"/>
    </w:rPr>
  </w:style>
  <w:style w:type="character" w:customStyle="1" w:styleId="BodyText2Char">
    <w:name w:val="Body Text 2 Char"/>
    <w:basedOn w:val="DefaultParagraphFont"/>
    <w:link w:val="BodyText2"/>
    <w:rsid w:val="007D384F"/>
    <w:rPr>
      <w:rFonts w:ascii="Times New Roman" w:eastAsia="Times New Roman" w:hAnsi="Times New Roman"/>
      <w:sz w:val="24"/>
    </w:rPr>
  </w:style>
  <w:style w:type="paragraph" w:styleId="BodyText">
    <w:name w:val="Body Text"/>
    <w:basedOn w:val="Normal"/>
    <w:link w:val="BodyTextChar"/>
    <w:uiPriority w:val="99"/>
    <w:semiHidden/>
    <w:unhideWhenUsed/>
    <w:rsid w:val="00001C99"/>
    <w:pPr>
      <w:spacing w:after="120"/>
    </w:pPr>
  </w:style>
  <w:style w:type="character" w:customStyle="1" w:styleId="BodyTextChar">
    <w:name w:val="Body Text Char"/>
    <w:basedOn w:val="DefaultParagraphFont"/>
    <w:link w:val="BodyText"/>
    <w:uiPriority w:val="99"/>
    <w:semiHidden/>
    <w:rsid w:val="00001C99"/>
    <w:rPr>
      <w:sz w:val="22"/>
      <w:szCs w:val="22"/>
    </w:rPr>
  </w:style>
  <w:style w:type="paragraph" w:styleId="ListParagraph">
    <w:name w:val="List Paragraph"/>
    <w:basedOn w:val="Normal"/>
    <w:uiPriority w:val="34"/>
    <w:qFormat/>
    <w:rsid w:val="00334401"/>
    <w:pPr>
      <w:ind w:left="720"/>
      <w:contextualSpacing/>
    </w:pPr>
  </w:style>
  <w:style w:type="character" w:styleId="PageNumber">
    <w:name w:val="page number"/>
    <w:basedOn w:val="DefaultParagraphFont"/>
    <w:uiPriority w:val="99"/>
    <w:semiHidden/>
    <w:unhideWhenUsed/>
    <w:rsid w:val="00720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4873">
      <w:bodyDiv w:val="1"/>
      <w:marLeft w:val="0"/>
      <w:marRight w:val="0"/>
      <w:marTop w:val="0"/>
      <w:marBottom w:val="0"/>
      <w:divBdr>
        <w:top w:val="none" w:sz="0" w:space="0" w:color="auto"/>
        <w:left w:val="none" w:sz="0" w:space="0" w:color="auto"/>
        <w:bottom w:val="none" w:sz="0" w:space="0" w:color="auto"/>
        <w:right w:val="none" w:sz="0" w:space="0" w:color="auto"/>
      </w:divBdr>
    </w:div>
    <w:div w:id="51539985">
      <w:bodyDiv w:val="1"/>
      <w:marLeft w:val="0"/>
      <w:marRight w:val="0"/>
      <w:marTop w:val="0"/>
      <w:marBottom w:val="0"/>
      <w:divBdr>
        <w:top w:val="none" w:sz="0" w:space="0" w:color="auto"/>
        <w:left w:val="none" w:sz="0" w:space="0" w:color="auto"/>
        <w:bottom w:val="none" w:sz="0" w:space="0" w:color="auto"/>
        <w:right w:val="none" w:sz="0" w:space="0" w:color="auto"/>
      </w:divBdr>
    </w:div>
    <w:div w:id="64569024">
      <w:bodyDiv w:val="1"/>
      <w:marLeft w:val="0"/>
      <w:marRight w:val="0"/>
      <w:marTop w:val="0"/>
      <w:marBottom w:val="0"/>
      <w:divBdr>
        <w:top w:val="none" w:sz="0" w:space="0" w:color="auto"/>
        <w:left w:val="none" w:sz="0" w:space="0" w:color="auto"/>
        <w:bottom w:val="none" w:sz="0" w:space="0" w:color="auto"/>
        <w:right w:val="none" w:sz="0" w:space="0" w:color="auto"/>
      </w:divBdr>
    </w:div>
    <w:div w:id="84152957">
      <w:bodyDiv w:val="1"/>
      <w:marLeft w:val="0"/>
      <w:marRight w:val="0"/>
      <w:marTop w:val="0"/>
      <w:marBottom w:val="0"/>
      <w:divBdr>
        <w:top w:val="none" w:sz="0" w:space="0" w:color="auto"/>
        <w:left w:val="none" w:sz="0" w:space="0" w:color="auto"/>
        <w:bottom w:val="none" w:sz="0" w:space="0" w:color="auto"/>
        <w:right w:val="none" w:sz="0" w:space="0" w:color="auto"/>
      </w:divBdr>
    </w:div>
    <w:div w:id="92168858">
      <w:bodyDiv w:val="1"/>
      <w:marLeft w:val="0"/>
      <w:marRight w:val="0"/>
      <w:marTop w:val="0"/>
      <w:marBottom w:val="0"/>
      <w:divBdr>
        <w:top w:val="none" w:sz="0" w:space="0" w:color="auto"/>
        <w:left w:val="none" w:sz="0" w:space="0" w:color="auto"/>
        <w:bottom w:val="none" w:sz="0" w:space="0" w:color="auto"/>
        <w:right w:val="none" w:sz="0" w:space="0" w:color="auto"/>
      </w:divBdr>
    </w:div>
    <w:div w:id="211885885">
      <w:bodyDiv w:val="1"/>
      <w:marLeft w:val="0"/>
      <w:marRight w:val="0"/>
      <w:marTop w:val="0"/>
      <w:marBottom w:val="0"/>
      <w:divBdr>
        <w:top w:val="none" w:sz="0" w:space="0" w:color="auto"/>
        <w:left w:val="none" w:sz="0" w:space="0" w:color="auto"/>
        <w:bottom w:val="none" w:sz="0" w:space="0" w:color="auto"/>
        <w:right w:val="none" w:sz="0" w:space="0" w:color="auto"/>
      </w:divBdr>
    </w:div>
    <w:div w:id="402143261">
      <w:bodyDiv w:val="1"/>
      <w:marLeft w:val="0"/>
      <w:marRight w:val="0"/>
      <w:marTop w:val="0"/>
      <w:marBottom w:val="0"/>
      <w:divBdr>
        <w:top w:val="none" w:sz="0" w:space="0" w:color="auto"/>
        <w:left w:val="none" w:sz="0" w:space="0" w:color="auto"/>
        <w:bottom w:val="none" w:sz="0" w:space="0" w:color="auto"/>
        <w:right w:val="none" w:sz="0" w:space="0" w:color="auto"/>
      </w:divBdr>
    </w:div>
    <w:div w:id="719716663">
      <w:bodyDiv w:val="1"/>
      <w:marLeft w:val="0"/>
      <w:marRight w:val="0"/>
      <w:marTop w:val="0"/>
      <w:marBottom w:val="0"/>
      <w:divBdr>
        <w:top w:val="none" w:sz="0" w:space="0" w:color="auto"/>
        <w:left w:val="none" w:sz="0" w:space="0" w:color="auto"/>
        <w:bottom w:val="none" w:sz="0" w:space="0" w:color="auto"/>
        <w:right w:val="none" w:sz="0" w:space="0" w:color="auto"/>
      </w:divBdr>
    </w:div>
    <w:div w:id="737286420">
      <w:bodyDiv w:val="1"/>
      <w:marLeft w:val="0"/>
      <w:marRight w:val="0"/>
      <w:marTop w:val="0"/>
      <w:marBottom w:val="0"/>
      <w:divBdr>
        <w:top w:val="none" w:sz="0" w:space="0" w:color="auto"/>
        <w:left w:val="none" w:sz="0" w:space="0" w:color="auto"/>
        <w:bottom w:val="none" w:sz="0" w:space="0" w:color="auto"/>
        <w:right w:val="none" w:sz="0" w:space="0" w:color="auto"/>
      </w:divBdr>
    </w:div>
    <w:div w:id="748504242">
      <w:bodyDiv w:val="1"/>
      <w:marLeft w:val="0"/>
      <w:marRight w:val="0"/>
      <w:marTop w:val="0"/>
      <w:marBottom w:val="0"/>
      <w:divBdr>
        <w:top w:val="none" w:sz="0" w:space="0" w:color="auto"/>
        <w:left w:val="none" w:sz="0" w:space="0" w:color="auto"/>
        <w:bottom w:val="none" w:sz="0" w:space="0" w:color="auto"/>
        <w:right w:val="none" w:sz="0" w:space="0" w:color="auto"/>
      </w:divBdr>
    </w:div>
    <w:div w:id="844517416">
      <w:bodyDiv w:val="1"/>
      <w:marLeft w:val="0"/>
      <w:marRight w:val="0"/>
      <w:marTop w:val="0"/>
      <w:marBottom w:val="0"/>
      <w:divBdr>
        <w:top w:val="none" w:sz="0" w:space="0" w:color="auto"/>
        <w:left w:val="none" w:sz="0" w:space="0" w:color="auto"/>
        <w:bottom w:val="none" w:sz="0" w:space="0" w:color="auto"/>
        <w:right w:val="none" w:sz="0" w:space="0" w:color="auto"/>
      </w:divBdr>
    </w:div>
    <w:div w:id="899444618">
      <w:bodyDiv w:val="1"/>
      <w:marLeft w:val="0"/>
      <w:marRight w:val="0"/>
      <w:marTop w:val="0"/>
      <w:marBottom w:val="0"/>
      <w:divBdr>
        <w:top w:val="none" w:sz="0" w:space="0" w:color="auto"/>
        <w:left w:val="none" w:sz="0" w:space="0" w:color="auto"/>
        <w:bottom w:val="none" w:sz="0" w:space="0" w:color="auto"/>
        <w:right w:val="none" w:sz="0" w:space="0" w:color="auto"/>
      </w:divBdr>
    </w:div>
    <w:div w:id="939995736">
      <w:bodyDiv w:val="1"/>
      <w:marLeft w:val="0"/>
      <w:marRight w:val="0"/>
      <w:marTop w:val="0"/>
      <w:marBottom w:val="0"/>
      <w:divBdr>
        <w:top w:val="none" w:sz="0" w:space="0" w:color="auto"/>
        <w:left w:val="none" w:sz="0" w:space="0" w:color="auto"/>
        <w:bottom w:val="none" w:sz="0" w:space="0" w:color="auto"/>
        <w:right w:val="none" w:sz="0" w:space="0" w:color="auto"/>
      </w:divBdr>
    </w:div>
    <w:div w:id="1057051901">
      <w:bodyDiv w:val="1"/>
      <w:marLeft w:val="0"/>
      <w:marRight w:val="0"/>
      <w:marTop w:val="0"/>
      <w:marBottom w:val="0"/>
      <w:divBdr>
        <w:top w:val="none" w:sz="0" w:space="0" w:color="auto"/>
        <w:left w:val="none" w:sz="0" w:space="0" w:color="auto"/>
        <w:bottom w:val="none" w:sz="0" w:space="0" w:color="auto"/>
        <w:right w:val="none" w:sz="0" w:space="0" w:color="auto"/>
      </w:divBdr>
    </w:div>
    <w:div w:id="1111238487">
      <w:bodyDiv w:val="1"/>
      <w:marLeft w:val="0"/>
      <w:marRight w:val="0"/>
      <w:marTop w:val="0"/>
      <w:marBottom w:val="0"/>
      <w:divBdr>
        <w:top w:val="none" w:sz="0" w:space="0" w:color="auto"/>
        <w:left w:val="none" w:sz="0" w:space="0" w:color="auto"/>
        <w:bottom w:val="none" w:sz="0" w:space="0" w:color="auto"/>
        <w:right w:val="none" w:sz="0" w:space="0" w:color="auto"/>
      </w:divBdr>
    </w:div>
    <w:div w:id="1171214069">
      <w:bodyDiv w:val="1"/>
      <w:marLeft w:val="0"/>
      <w:marRight w:val="0"/>
      <w:marTop w:val="0"/>
      <w:marBottom w:val="0"/>
      <w:divBdr>
        <w:top w:val="none" w:sz="0" w:space="0" w:color="auto"/>
        <w:left w:val="none" w:sz="0" w:space="0" w:color="auto"/>
        <w:bottom w:val="none" w:sz="0" w:space="0" w:color="auto"/>
        <w:right w:val="none" w:sz="0" w:space="0" w:color="auto"/>
      </w:divBdr>
    </w:div>
    <w:div w:id="1206672746">
      <w:bodyDiv w:val="1"/>
      <w:marLeft w:val="0"/>
      <w:marRight w:val="0"/>
      <w:marTop w:val="0"/>
      <w:marBottom w:val="0"/>
      <w:divBdr>
        <w:top w:val="none" w:sz="0" w:space="0" w:color="auto"/>
        <w:left w:val="none" w:sz="0" w:space="0" w:color="auto"/>
        <w:bottom w:val="none" w:sz="0" w:space="0" w:color="auto"/>
        <w:right w:val="none" w:sz="0" w:space="0" w:color="auto"/>
      </w:divBdr>
    </w:div>
    <w:div w:id="1255437595">
      <w:bodyDiv w:val="1"/>
      <w:marLeft w:val="0"/>
      <w:marRight w:val="0"/>
      <w:marTop w:val="0"/>
      <w:marBottom w:val="0"/>
      <w:divBdr>
        <w:top w:val="none" w:sz="0" w:space="0" w:color="auto"/>
        <w:left w:val="none" w:sz="0" w:space="0" w:color="auto"/>
        <w:bottom w:val="none" w:sz="0" w:space="0" w:color="auto"/>
        <w:right w:val="none" w:sz="0" w:space="0" w:color="auto"/>
      </w:divBdr>
    </w:div>
    <w:div w:id="1300914199">
      <w:bodyDiv w:val="1"/>
      <w:marLeft w:val="0"/>
      <w:marRight w:val="0"/>
      <w:marTop w:val="0"/>
      <w:marBottom w:val="0"/>
      <w:divBdr>
        <w:top w:val="none" w:sz="0" w:space="0" w:color="auto"/>
        <w:left w:val="none" w:sz="0" w:space="0" w:color="auto"/>
        <w:bottom w:val="none" w:sz="0" w:space="0" w:color="auto"/>
        <w:right w:val="none" w:sz="0" w:space="0" w:color="auto"/>
      </w:divBdr>
    </w:div>
    <w:div w:id="1307319605">
      <w:bodyDiv w:val="1"/>
      <w:marLeft w:val="0"/>
      <w:marRight w:val="0"/>
      <w:marTop w:val="0"/>
      <w:marBottom w:val="0"/>
      <w:divBdr>
        <w:top w:val="none" w:sz="0" w:space="0" w:color="auto"/>
        <w:left w:val="none" w:sz="0" w:space="0" w:color="auto"/>
        <w:bottom w:val="none" w:sz="0" w:space="0" w:color="auto"/>
        <w:right w:val="none" w:sz="0" w:space="0" w:color="auto"/>
      </w:divBdr>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
    <w:div w:id="1374689596">
      <w:bodyDiv w:val="1"/>
      <w:marLeft w:val="0"/>
      <w:marRight w:val="0"/>
      <w:marTop w:val="0"/>
      <w:marBottom w:val="0"/>
      <w:divBdr>
        <w:top w:val="none" w:sz="0" w:space="0" w:color="auto"/>
        <w:left w:val="none" w:sz="0" w:space="0" w:color="auto"/>
        <w:bottom w:val="none" w:sz="0" w:space="0" w:color="auto"/>
        <w:right w:val="none" w:sz="0" w:space="0" w:color="auto"/>
      </w:divBdr>
    </w:div>
    <w:div w:id="1425884204">
      <w:bodyDiv w:val="1"/>
      <w:marLeft w:val="0"/>
      <w:marRight w:val="0"/>
      <w:marTop w:val="0"/>
      <w:marBottom w:val="0"/>
      <w:divBdr>
        <w:top w:val="none" w:sz="0" w:space="0" w:color="auto"/>
        <w:left w:val="none" w:sz="0" w:space="0" w:color="auto"/>
        <w:bottom w:val="none" w:sz="0" w:space="0" w:color="auto"/>
        <w:right w:val="none" w:sz="0" w:space="0" w:color="auto"/>
      </w:divBdr>
    </w:div>
    <w:div w:id="1480221233">
      <w:bodyDiv w:val="1"/>
      <w:marLeft w:val="0"/>
      <w:marRight w:val="0"/>
      <w:marTop w:val="0"/>
      <w:marBottom w:val="0"/>
      <w:divBdr>
        <w:top w:val="none" w:sz="0" w:space="0" w:color="auto"/>
        <w:left w:val="none" w:sz="0" w:space="0" w:color="auto"/>
        <w:bottom w:val="none" w:sz="0" w:space="0" w:color="auto"/>
        <w:right w:val="none" w:sz="0" w:space="0" w:color="auto"/>
      </w:divBdr>
    </w:div>
    <w:div w:id="1481650372">
      <w:bodyDiv w:val="1"/>
      <w:marLeft w:val="0"/>
      <w:marRight w:val="0"/>
      <w:marTop w:val="0"/>
      <w:marBottom w:val="0"/>
      <w:divBdr>
        <w:top w:val="none" w:sz="0" w:space="0" w:color="auto"/>
        <w:left w:val="none" w:sz="0" w:space="0" w:color="auto"/>
        <w:bottom w:val="none" w:sz="0" w:space="0" w:color="auto"/>
        <w:right w:val="none" w:sz="0" w:space="0" w:color="auto"/>
      </w:divBdr>
    </w:div>
    <w:div w:id="1540438350">
      <w:bodyDiv w:val="1"/>
      <w:marLeft w:val="0"/>
      <w:marRight w:val="0"/>
      <w:marTop w:val="0"/>
      <w:marBottom w:val="0"/>
      <w:divBdr>
        <w:top w:val="none" w:sz="0" w:space="0" w:color="auto"/>
        <w:left w:val="none" w:sz="0" w:space="0" w:color="auto"/>
        <w:bottom w:val="none" w:sz="0" w:space="0" w:color="auto"/>
        <w:right w:val="none" w:sz="0" w:space="0" w:color="auto"/>
      </w:divBdr>
    </w:div>
    <w:div w:id="1542396176">
      <w:bodyDiv w:val="1"/>
      <w:marLeft w:val="0"/>
      <w:marRight w:val="0"/>
      <w:marTop w:val="0"/>
      <w:marBottom w:val="0"/>
      <w:divBdr>
        <w:top w:val="none" w:sz="0" w:space="0" w:color="auto"/>
        <w:left w:val="none" w:sz="0" w:space="0" w:color="auto"/>
        <w:bottom w:val="none" w:sz="0" w:space="0" w:color="auto"/>
        <w:right w:val="none" w:sz="0" w:space="0" w:color="auto"/>
      </w:divBdr>
    </w:div>
    <w:div w:id="1609266527">
      <w:bodyDiv w:val="1"/>
      <w:marLeft w:val="0"/>
      <w:marRight w:val="0"/>
      <w:marTop w:val="0"/>
      <w:marBottom w:val="0"/>
      <w:divBdr>
        <w:top w:val="none" w:sz="0" w:space="0" w:color="auto"/>
        <w:left w:val="none" w:sz="0" w:space="0" w:color="auto"/>
        <w:bottom w:val="none" w:sz="0" w:space="0" w:color="auto"/>
        <w:right w:val="none" w:sz="0" w:space="0" w:color="auto"/>
      </w:divBdr>
    </w:div>
    <w:div w:id="1623196278">
      <w:bodyDiv w:val="1"/>
      <w:marLeft w:val="0"/>
      <w:marRight w:val="0"/>
      <w:marTop w:val="0"/>
      <w:marBottom w:val="0"/>
      <w:divBdr>
        <w:top w:val="none" w:sz="0" w:space="0" w:color="auto"/>
        <w:left w:val="none" w:sz="0" w:space="0" w:color="auto"/>
        <w:bottom w:val="none" w:sz="0" w:space="0" w:color="auto"/>
        <w:right w:val="none" w:sz="0" w:space="0" w:color="auto"/>
      </w:divBdr>
    </w:div>
    <w:div w:id="1717658653">
      <w:bodyDiv w:val="1"/>
      <w:marLeft w:val="0"/>
      <w:marRight w:val="0"/>
      <w:marTop w:val="0"/>
      <w:marBottom w:val="0"/>
      <w:divBdr>
        <w:top w:val="none" w:sz="0" w:space="0" w:color="auto"/>
        <w:left w:val="none" w:sz="0" w:space="0" w:color="auto"/>
        <w:bottom w:val="none" w:sz="0" w:space="0" w:color="auto"/>
        <w:right w:val="none" w:sz="0" w:space="0" w:color="auto"/>
      </w:divBdr>
    </w:div>
    <w:div w:id="1745832148">
      <w:bodyDiv w:val="1"/>
      <w:marLeft w:val="0"/>
      <w:marRight w:val="0"/>
      <w:marTop w:val="0"/>
      <w:marBottom w:val="0"/>
      <w:divBdr>
        <w:top w:val="none" w:sz="0" w:space="0" w:color="auto"/>
        <w:left w:val="none" w:sz="0" w:space="0" w:color="auto"/>
        <w:bottom w:val="none" w:sz="0" w:space="0" w:color="auto"/>
        <w:right w:val="none" w:sz="0" w:space="0" w:color="auto"/>
      </w:divBdr>
    </w:div>
    <w:div w:id="1746414463">
      <w:bodyDiv w:val="1"/>
      <w:marLeft w:val="0"/>
      <w:marRight w:val="0"/>
      <w:marTop w:val="0"/>
      <w:marBottom w:val="0"/>
      <w:divBdr>
        <w:top w:val="none" w:sz="0" w:space="0" w:color="auto"/>
        <w:left w:val="none" w:sz="0" w:space="0" w:color="auto"/>
        <w:bottom w:val="none" w:sz="0" w:space="0" w:color="auto"/>
        <w:right w:val="none" w:sz="0" w:space="0" w:color="auto"/>
      </w:divBdr>
    </w:div>
    <w:div w:id="1897466359">
      <w:bodyDiv w:val="1"/>
      <w:marLeft w:val="0"/>
      <w:marRight w:val="0"/>
      <w:marTop w:val="0"/>
      <w:marBottom w:val="0"/>
      <w:divBdr>
        <w:top w:val="none" w:sz="0" w:space="0" w:color="auto"/>
        <w:left w:val="none" w:sz="0" w:space="0" w:color="auto"/>
        <w:bottom w:val="none" w:sz="0" w:space="0" w:color="auto"/>
        <w:right w:val="none" w:sz="0" w:space="0" w:color="auto"/>
      </w:divBdr>
    </w:div>
    <w:div w:id="1950427423">
      <w:bodyDiv w:val="1"/>
      <w:marLeft w:val="0"/>
      <w:marRight w:val="0"/>
      <w:marTop w:val="0"/>
      <w:marBottom w:val="0"/>
      <w:divBdr>
        <w:top w:val="none" w:sz="0" w:space="0" w:color="auto"/>
        <w:left w:val="none" w:sz="0" w:space="0" w:color="auto"/>
        <w:bottom w:val="none" w:sz="0" w:space="0" w:color="auto"/>
        <w:right w:val="none" w:sz="0" w:space="0" w:color="auto"/>
      </w:divBdr>
    </w:div>
    <w:div w:id="1955864536">
      <w:bodyDiv w:val="1"/>
      <w:marLeft w:val="0"/>
      <w:marRight w:val="0"/>
      <w:marTop w:val="0"/>
      <w:marBottom w:val="0"/>
      <w:divBdr>
        <w:top w:val="none" w:sz="0" w:space="0" w:color="auto"/>
        <w:left w:val="none" w:sz="0" w:space="0" w:color="auto"/>
        <w:bottom w:val="none" w:sz="0" w:space="0" w:color="auto"/>
        <w:right w:val="none" w:sz="0" w:space="0" w:color="auto"/>
      </w:divBdr>
    </w:div>
    <w:div w:id="1998803585">
      <w:bodyDiv w:val="1"/>
      <w:marLeft w:val="0"/>
      <w:marRight w:val="0"/>
      <w:marTop w:val="0"/>
      <w:marBottom w:val="0"/>
      <w:divBdr>
        <w:top w:val="none" w:sz="0" w:space="0" w:color="auto"/>
        <w:left w:val="none" w:sz="0" w:space="0" w:color="auto"/>
        <w:bottom w:val="none" w:sz="0" w:space="0" w:color="auto"/>
        <w:right w:val="none" w:sz="0" w:space="0" w:color="auto"/>
      </w:divBdr>
    </w:div>
    <w:div w:id="1999110618">
      <w:bodyDiv w:val="1"/>
      <w:marLeft w:val="0"/>
      <w:marRight w:val="0"/>
      <w:marTop w:val="0"/>
      <w:marBottom w:val="0"/>
      <w:divBdr>
        <w:top w:val="none" w:sz="0" w:space="0" w:color="auto"/>
        <w:left w:val="none" w:sz="0" w:space="0" w:color="auto"/>
        <w:bottom w:val="none" w:sz="0" w:space="0" w:color="auto"/>
        <w:right w:val="none" w:sz="0" w:space="0" w:color="auto"/>
      </w:divBdr>
    </w:div>
    <w:div w:id="2113240607">
      <w:bodyDiv w:val="1"/>
      <w:marLeft w:val="0"/>
      <w:marRight w:val="0"/>
      <w:marTop w:val="0"/>
      <w:marBottom w:val="0"/>
      <w:divBdr>
        <w:top w:val="none" w:sz="0" w:space="0" w:color="auto"/>
        <w:left w:val="none" w:sz="0" w:space="0" w:color="auto"/>
        <w:bottom w:val="none" w:sz="0" w:space="0" w:color="auto"/>
        <w:right w:val="none" w:sz="0" w:space="0" w:color="auto"/>
      </w:divBdr>
    </w:div>
    <w:div w:id="214095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2F3EA-056D-4B93-8CB7-9EDE2BB47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Fields, Rebecca D</dc:creator>
  <cp:keywords/>
  <dc:description/>
  <cp:lastModifiedBy>Williams, Aubrie Lee</cp:lastModifiedBy>
  <cp:revision>7</cp:revision>
  <cp:lastPrinted>2021-06-22T13:18:00Z</cp:lastPrinted>
  <dcterms:created xsi:type="dcterms:W3CDTF">2021-08-30T21:31:00Z</dcterms:created>
  <dcterms:modified xsi:type="dcterms:W3CDTF">2021-09-23T14:46:00Z</dcterms:modified>
</cp:coreProperties>
</file>