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AD99" w14:textId="77777777" w:rsidR="003937C5" w:rsidRDefault="003937C5" w:rsidP="0039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040"/>
        <w:rPr>
          <w:rFonts w:ascii="Times New Roman" w:eastAsia="Times New Roman" w:hAnsi="Times New Roman" w:cs="Times New Roman"/>
          <w:color w:val="5B9BD5" w:themeColor="accent1"/>
          <w:sz w:val="26"/>
          <w:szCs w:val="26"/>
        </w:rPr>
      </w:pPr>
      <w:bookmarkStart w:id="0" w:name="_Hlk83283399"/>
      <w:r>
        <w:rPr>
          <w:rFonts w:ascii="Times New Roman" w:hAnsi="Times New Roman" w:cs="Times New Roman"/>
          <w:color w:val="5B9BD5" w:themeColor="accent1"/>
          <w:sz w:val="26"/>
          <w:szCs w:val="26"/>
        </w:rPr>
        <w:t>Reported to the Board of Trustees</w:t>
      </w:r>
    </w:p>
    <w:p w14:paraId="5B5BBEEA" w14:textId="77777777" w:rsidR="003937C5" w:rsidRDefault="003937C5" w:rsidP="0039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040"/>
        <w:rPr>
          <w:rFonts w:ascii="Times New Roman" w:eastAsia="Arial" w:hAnsi="Times New Roman" w:cs="Times New Roman"/>
          <w:color w:val="5B9BD5" w:themeColor="accent1"/>
          <w:sz w:val="26"/>
          <w:szCs w:val="26"/>
        </w:rPr>
      </w:pPr>
      <w:r>
        <w:rPr>
          <w:rFonts w:ascii="Times New Roman" w:hAnsi="Times New Roman" w:cs="Times New Roman"/>
          <w:color w:val="5B9BD5" w:themeColor="accent1"/>
          <w:sz w:val="26"/>
          <w:szCs w:val="26"/>
        </w:rPr>
        <w:t>September 23, 2021</w:t>
      </w:r>
      <w:bookmarkEnd w:id="0"/>
    </w:p>
    <w:p w14:paraId="281C4A20" w14:textId="2602857C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49C7BB9D" w14:textId="4EB33033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4B4CEAC5" w14:textId="6EDE50CE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61CEE73E" w14:textId="57645F61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40ABE720" w14:textId="0CE5ADF9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624FE82C" w14:textId="495A607A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2B340469" w14:textId="69CDE5F1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1AFB34C1" w14:textId="61E723E2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  <w:r w:rsidRPr="00F45F9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588EDB" wp14:editId="5E703BCB">
            <wp:extent cx="6400800" cy="735965"/>
            <wp:effectExtent l="0" t="0" r="0" b="6985"/>
            <wp:docPr id="112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E931" w14:textId="4C8944F6" w:rsidR="00F45F9E" w:rsidRPr="00F45F9E" w:rsidRDefault="00F45F9E" w:rsidP="00F45F9E">
      <w:pPr>
        <w:pStyle w:val="Header"/>
        <w:rPr>
          <w:rFonts w:ascii="Times New Roman" w:hAnsi="Times New Roman" w:cs="Times New Roman"/>
          <w:b/>
          <w:sz w:val="40"/>
          <w:szCs w:val="40"/>
        </w:rPr>
      </w:pPr>
      <w:r w:rsidRPr="00F45F9E">
        <w:rPr>
          <w:rFonts w:ascii="Times New Roman" w:hAnsi="Times New Roman" w:cs="Times New Roman"/>
          <w:b/>
          <w:sz w:val="40"/>
          <w:szCs w:val="40"/>
        </w:rPr>
        <w:t>Office of Investments Annual Report</w:t>
      </w:r>
    </w:p>
    <w:p w14:paraId="124CF8E1" w14:textId="794CD1FC" w:rsidR="00F45F9E" w:rsidRPr="00917772" w:rsidRDefault="00AD671E" w:rsidP="00F45F9E">
      <w:pPr>
        <w:pStyle w:val="Head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Fiscal </w:t>
      </w:r>
      <w:r w:rsidR="003476E2">
        <w:rPr>
          <w:rFonts w:ascii="Times New Roman" w:hAnsi="Times New Roman" w:cs="Times New Roman"/>
          <w:b/>
          <w:sz w:val="32"/>
          <w:szCs w:val="32"/>
        </w:rPr>
        <w:t>Year Ending</w:t>
      </w:r>
      <w:r w:rsidR="00F45F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05F2">
        <w:rPr>
          <w:rFonts w:ascii="Times New Roman" w:hAnsi="Times New Roman" w:cs="Times New Roman"/>
          <w:b/>
          <w:sz w:val="32"/>
          <w:szCs w:val="32"/>
        </w:rPr>
        <w:t>June 30, 202</w:t>
      </w:r>
      <w:r w:rsidR="00CD2343">
        <w:rPr>
          <w:rFonts w:ascii="Times New Roman" w:hAnsi="Times New Roman" w:cs="Times New Roman"/>
          <w:b/>
          <w:sz w:val="32"/>
          <w:szCs w:val="32"/>
        </w:rPr>
        <w:t>1</w:t>
      </w:r>
    </w:p>
    <w:p w14:paraId="0A9E6D52" w14:textId="77777777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20D02C1A" w14:textId="77777777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5FF595" w14:textId="7290B56A" w:rsidR="001676F6" w:rsidRPr="00517B1D" w:rsidRDefault="001676F6" w:rsidP="00167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B1D">
        <w:rPr>
          <w:rFonts w:ascii="Times New Roman" w:hAnsi="Times New Roman" w:cs="Times New Roman"/>
          <w:b/>
          <w:sz w:val="32"/>
          <w:szCs w:val="32"/>
        </w:rPr>
        <w:lastRenderedPageBreak/>
        <w:t>Table of Contents</w:t>
      </w:r>
    </w:p>
    <w:p w14:paraId="348C9207" w14:textId="0172FD0E" w:rsidR="001676F6" w:rsidRDefault="001676F6" w:rsidP="001676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2B1AB" w14:textId="446DB625" w:rsidR="001676F6" w:rsidRDefault="001676F6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Introduction…………………………………………………………………………3</w:t>
      </w:r>
    </w:p>
    <w:p w14:paraId="02A3ECD3" w14:textId="1260BA3D" w:rsidR="001676F6" w:rsidRDefault="001676F6" w:rsidP="00621A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3D5801E" w14:textId="07F1D0BE" w:rsidR="001676F6" w:rsidRDefault="00962EF0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Invested Asset Overview………………………………………………</w:t>
      </w:r>
      <w:r w:rsidR="0023756E">
        <w:rPr>
          <w:rFonts w:ascii="Times New Roman" w:hAnsi="Times New Roman" w:cs="Times New Roman"/>
          <w:sz w:val="24"/>
          <w:szCs w:val="24"/>
        </w:rPr>
        <w:t>...</w:t>
      </w:r>
      <w:r w:rsidR="002C3769">
        <w:rPr>
          <w:rFonts w:ascii="Times New Roman" w:hAnsi="Times New Roman" w:cs="Times New Roman"/>
          <w:sz w:val="24"/>
          <w:szCs w:val="24"/>
        </w:rPr>
        <w:t>…………4</w:t>
      </w:r>
    </w:p>
    <w:p w14:paraId="7993B592" w14:textId="5B4CF5EA" w:rsidR="00962EF0" w:rsidRDefault="00962EF0" w:rsidP="00621A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82E734" w14:textId="7B43E80C" w:rsidR="00962EF0" w:rsidRDefault="00962EF0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Endowment Fund</w:t>
      </w:r>
      <w:r w:rsidR="003554A7">
        <w:rPr>
          <w:rFonts w:ascii="Times New Roman" w:hAnsi="Times New Roman" w:cs="Times New Roman"/>
          <w:sz w:val="24"/>
          <w:szCs w:val="24"/>
        </w:rPr>
        <w:t>s...</w:t>
      </w:r>
      <w:r w:rsidR="00CE2B33">
        <w:rPr>
          <w:rFonts w:ascii="Times New Roman" w:hAnsi="Times New Roman" w:cs="Times New Roman"/>
          <w:sz w:val="24"/>
          <w:szCs w:val="24"/>
        </w:rPr>
        <w:t>…………....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248EC">
        <w:rPr>
          <w:rFonts w:ascii="Times New Roman" w:hAnsi="Times New Roman" w:cs="Times New Roman"/>
          <w:sz w:val="24"/>
          <w:szCs w:val="24"/>
        </w:rPr>
        <w:t>.</w:t>
      </w:r>
      <w:r w:rsidR="002C3769">
        <w:rPr>
          <w:rFonts w:ascii="Times New Roman" w:hAnsi="Times New Roman" w:cs="Times New Roman"/>
          <w:sz w:val="24"/>
          <w:szCs w:val="24"/>
        </w:rPr>
        <w:t>……5</w:t>
      </w:r>
    </w:p>
    <w:p w14:paraId="4B4644D5" w14:textId="4477D5FF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F25">
        <w:rPr>
          <w:rFonts w:ascii="Times New Roman" w:hAnsi="Times New Roman" w:cs="Times New Roman"/>
          <w:sz w:val="24"/>
          <w:szCs w:val="24"/>
        </w:rPr>
        <w:t>Asset Allocation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6248E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C3769">
        <w:rPr>
          <w:rFonts w:ascii="Times New Roman" w:hAnsi="Times New Roman" w:cs="Times New Roman"/>
          <w:sz w:val="24"/>
          <w:szCs w:val="24"/>
        </w:rPr>
        <w:t>………..6</w:t>
      </w:r>
    </w:p>
    <w:p w14:paraId="77F34718" w14:textId="3F87DA1A" w:rsidR="00CE2B33" w:rsidRDefault="008E3F25" w:rsidP="00621A0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Spending Policy.</w:t>
      </w:r>
      <w:r w:rsidR="00CE2B3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3756E">
        <w:rPr>
          <w:rFonts w:ascii="Times New Roman" w:hAnsi="Times New Roman" w:cs="Times New Roman"/>
          <w:sz w:val="24"/>
          <w:szCs w:val="24"/>
        </w:rPr>
        <w:t>...</w:t>
      </w:r>
      <w:r w:rsidR="006248E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C376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C3769">
        <w:rPr>
          <w:rFonts w:ascii="Times New Roman" w:hAnsi="Times New Roman" w:cs="Times New Roman"/>
          <w:sz w:val="24"/>
          <w:szCs w:val="24"/>
        </w:rPr>
        <w:t>7</w:t>
      </w:r>
    </w:p>
    <w:p w14:paraId="013A08C7" w14:textId="16F42B5B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Performance </w:t>
      </w:r>
      <w:r w:rsidR="006248EC">
        <w:rPr>
          <w:rFonts w:ascii="Times New Roman" w:hAnsi="Times New Roman" w:cs="Times New Roman"/>
          <w:sz w:val="24"/>
          <w:szCs w:val="24"/>
        </w:rPr>
        <w:t>Measurement……………………………………………...</w:t>
      </w:r>
      <w:r w:rsidR="002C3769">
        <w:rPr>
          <w:rFonts w:ascii="Times New Roman" w:hAnsi="Times New Roman" w:cs="Times New Roman"/>
          <w:sz w:val="24"/>
          <w:szCs w:val="24"/>
        </w:rPr>
        <w:t>….7</w:t>
      </w:r>
    </w:p>
    <w:p w14:paraId="442831C1" w14:textId="6B7334F4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C36DE0" w14:textId="61BF4FE7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Operating </w:t>
      </w:r>
      <w:r w:rsidR="006248EC">
        <w:rPr>
          <w:rFonts w:ascii="Times New Roman" w:hAnsi="Times New Roman" w:cs="Times New Roman"/>
          <w:sz w:val="24"/>
          <w:szCs w:val="24"/>
        </w:rPr>
        <w:t>Pool………………………………………………………………...</w:t>
      </w:r>
      <w:r w:rsidR="00CB1F4A">
        <w:rPr>
          <w:rFonts w:ascii="Times New Roman" w:hAnsi="Times New Roman" w:cs="Times New Roman"/>
          <w:sz w:val="24"/>
          <w:szCs w:val="24"/>
        </w:rPr>
        <w:t>..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2C3769">
        <w:rPr>
          <w:rFonts w:ascii="Times New Roman" w:hAnsi="Times New Roman" w:cs="Times New Roman"/>
          <w:sz w:val="24"/>
          <w:szCs w:val="24"/>
        </w:rPr>
        <w:t>…10</w:t>
      </w:r>
    </w:p>
    <w:p w14:paraId="0F3EFCE7" w14:textId="11CDB124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Asset </w:t>
      </w:r>
      <w:r w:rsidR="006248EC">
        <w:rPr>
          <w:rFonts w:ascii="Times New Roman" w:hAnsi="Times New Roman" w:cs="Times New Roman"/>
          <w:sz w:val="24"/>
          <w:szCs w:val="24"/>
        </w:rPr>
        <w:t>Allocation…………………………………………………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…..</w:t>
      </w:r>
      <w:r w:rsidR="005834F9">
        <w:rPr>
          <w:rFonts w:ascii="Times New Roman" w:hAnsi="Times New Roman" w:cs="Times New Roman"/>
          <w:sz w:val="24"/>
          <w:szCs w:val="24"/>
        </w:rPr>
        <w:t>..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5834F9">
        <w:rPr>
          <w:rFonts w:ascii="Times New Roman" w:hAnsi="Times New Roman" w:cs="Times New Roman"/>
          <w:sz w:val="24"/>
          <w:szCs w:val="24"/>
        </w:rPr>
        <w:t>.....</w:t>
      </w:r>
      <w:r w:rsidR="00CB1F4A">
        <w:rPr>
          <w:rFonts w:ascii="Times New Roman" w:hAnsi="Times New Roman" w:cs="Times New Roman"/>
          <w:sz w:val="24"/>
          <w:szCs w:val="24"/>
        </w:rPr>
        <w:t>.</w:t>
      </w:r>
      <w:r w:rsidR="002C3769">
        <w:rPr>
          <w:rFonts w:ascii="Times New Roman" w:hAnsi="Times New Roman" w:cs="Times New Roman"/>
          <w:sz w:val="24"/>
          <w:szCs w:val="24"/>
        </w:rPr>
        <w:t>10</w:t>
      </w:r>
    </w:p>
    <w:p w14:paraId="3F4E5C57" w14:textId="7E38B958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Performance Measurement……………………………</w:t>
      </w:r>
      <w:r w:rsidR="0023756E">
        <w:rPr>
          <w:rFonts w:ascii="Times New Roman" w:hAnsi="Times New Roman" w:cs="Times New Roman"/>
          <w:sz w:val="24"/>
          <w:szCs w:val="24"/>
        </w:rPr>
        <w:t>...</w:t>
      </w:r>
      <w:r w:rsidR="006248EC">
        <w:rPr>
          <w:rFonts w:ascii="Times New Roman" w:hAnsi="Times New Roman" w:cs="Times New Roman"/>
          <w:sz w:val="24"/>
          <w:szCs w:val="24"/>
        </w:rPr>
        <w:t>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……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..</w:t>
      </w:r>
      <w:r w:rsidR="00CB1F4A">
        <w:rPr>
          <w:rFonts w:ascii="Times New Roman" w:hAnsi="Times New Roman" w:cs="Times New Roman"/>
          <w:sz w:val="24"/>
          <w:szCs w:val="24"/>
        </w:rPr>
        <w:t>..</w:t>
      </w:r>
      <w:r w:rsidR="002C3769">
        <w:rPr>
          <w:rFonts w:ascii="Times New Roman" w:hAnsi="Times New Roman" w:cs="Times New Roman"/>
          <w:sz w:val="24"/>
          <w:szCs w:val="24"/>
        </w:rPr>
        <w:t>...11</w:t>
      </w:r>
    </w:p>
    <w:p w14:paraId="1DADCFBF" w14:textId="7B74C700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0352B2" w14:textId="4E77AC4A" w:rsidR="00CE2B33" w:rsidRDefault="00386277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Impact…...</w:t>
      </w:r>
      <w:r w:rsidR="00CB1F4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248EC">
        <w:rPr>
          <w:rFonts w:ascii="Times New Roman" w:hAnsi="Times New Roman" w:cs="Times New Roman"/>
          <w:sz w:val="24"/>
          <w:szCs w:val="24"/>
        </w:rPr>
        <w:t>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...</w:t>
      </w:r>
      <w:r w:rsidR="0023756E">
        <w:rPr>
          <w:rFonts w:ascii="Times New Roman" w:hAnsi="Times New Roman" w:cs="Times New Roman"/>
          <w:sz w:val="24"/>
          <w:szCs w:val="24"/>
        </w:rPr>
        <w:t>..</w:t>
      </w:r>
      <w:r w:rsidR="00CB1F4A">
        <w:rPr>
          <w:rFonts w:ascii="Times New Roman" w:hAnsi="Times New Roman" w:cs="Times New Roman"/>
          <w:sz w:val="24"/>
          <w:szCs w:val="24"/>
        </w:rPr>
        <w:t>..</w:t>
      </w:r>
      <w:r w:rsidR="002C3769">
        <w:rPr>
          <w:rFonts w:ascii="Times New Roman" w:hAnsi="Times New Roman" w:cs="Times New Roman"/>
          <w:sz w:val="24"/>
          <w:szCs w:val="24"/>
        </w:rPr>
        <w:t>.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23756E">
        <w:rPr>
          <w:rFonts w:ascii="Times New Roman" w:hAnsi="Times New Roman" w:cs="Times New Roman"/>
          <w:sz w:val="24"/>
          <w:szCs w:val="24"/>
        </w:rPr>
        <w:t>...</w:t>
      </w:r>
      <w:r w:rsidR="002C3769">
        <w:rPr>
          <w:rFonts w:ascii="Times New Roman" w:hAnsi="Times New Roman" w:cs="Times New Roman"/>
          <w:sz w:val="24"/>
          <w:szCs w:val="24"/>
        </w:rPr>
        <w:t>…12</w:t>
      </w:r>
    </w:p>
    <w:p w14:paraId="789984AD" w14:textId="1F127D4B" w:rsidR="00CE2B33" w:rsidRDefault="0023756E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Income Dis</w:t>
      </w:r>
      <w:r w:rsidR="00CB1F4A">
        <w:rPr>
          <w:rFonts w:ascii="Times New Roman" w:hAnsi="Times New Roman" w:cs="Times New Roman"/>
          <w:sz w:val="24"/>
          <w:szCs w:val="24"/>
        </w:rPr>
        <w:t>tribution…………………………………………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CB1F4A">
        <w:rPr>
          <w:rFonts w:ascii="Times New Roman" w:hAnsi="Times New Roman" w:cs="Times New Roman"/>
          <w:sz w:val="24"/>
          <w:szCs w:val="24"/>
        </w:rPr>
        <w:t>………...</w:t>
      </w:r>
      <w:r w:rsidR="006248EC">
        <w:rPr>
          <w:rFonts w:ascii="Times New Roman" w:hAnsi="Times New Roman" w:cs="Times New Roman"/>
          <w:sz w:val="24"/>
          <w:szCs w:val="24"/>
        </w:rPr>
        <w:t>.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.</w:t>
      </w:r>
      <w:r w:rsidR="002C3769">
        <w:rPr>
          <w:rFonts w:ascii="Times New Roman" w:hAnsi="Times New Roman" w:cs="Times New Roman"/>
          <w:sz w:val="24"/>
          <w:szCs w:val="24"/>
        </w:rPr>
        <w:t>…12</w:t>
      </w:r>
    </w:p>
    <w:p w14:paraId="1BF25D42" w14:textId="0840C2E8" w:rsidR="0023756E" w:rsidRDefault="0023756E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279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Co</w:t>
      </w:r>
      <w:r w:rsidR="006248EC">
        <w:rPr>
          <w:rFonts w:ascii="Times New Roman" w:hAnsi="Times New Roman" w:cs="Times New Roman"/>
          <w:sz w:val="24"/>
          <w:szCs w:val="24"/>
        </w:rPr>
        <w:t>sts</w:t>
      </w:r>
      <w:r w:rsidR="008E279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248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……………………</w:t>
      </w:r>
      <w:r w:rsidR="008E3F25">
        <w:rPr>
          <w:rFonts w:ascii="Times New Roman" w:hAnsi="Times New Roman" w:cs="Times New Roman"/>
          <w:sz w:val="24"/>
          <w:szCs w:val="24"/>
        </w:rPr>
        <w:t>….</w:t>
      </w:r>
      <w:r w:rsidR="002C3769">
        <w:rPr>
          <w:rFonts w:ascii="Times New Roman" w:hAnsi="Times New Roman" w:cs="Times New Roman"/>
          <w:sz w:val="24"/>
          <w:szCs w:val="24"/>
        </w:rPr>
        <w:t>12</w:t>
      </w:r>
    </w:p>
    <w:p w14:paraId="78B6180B" w14:textId="77777777" w:rsidR="0023756E" w:rsidRDefault="0023756E" w:rsidP="00621A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8A839F" w14:textId="38BEBB56" w:rsidR="00966280" w:rsidRDefault="00770C56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  <w:r w:rsidR="009A108F">
        <w:rPr>
          <w:rFonts w:ascii="Times New Roman" w:hAnsi="Times New Roman" w:cs="Times New Roman"/>
          <w:sz w:val="24"/>
          <w:szCs w:val="24"/>
        </w:rPr>
        <w:t xml:space="preserve"> </w:t>
      </w:r>
      <w:r w:rsidR="00663B36">
        <w:rPr>
          <w:rFonts w:ascii="Times New Roman" w:hAnsi="Times New Roman" w:cs="Times New Roman"/>
          <w:sz w:val="24"/>
          <w:szCs w:val="24"/>
        </w:rPr>
        <w:t xml:space="preserve">A </w:t>
      </w:r>
      <w:r w:rsidR="009A108F">
        <w:rPr>
          <w:rFonts w:ascii="Times New Roman" w:hAnsi="Times New Roman" w:cs="Times New Roman"/>
          <w:sz w:val="24"/>
          <w:szCs w:val="24"/>
        </w:rPr>
        <w:t xml:space="preserve">– </w:t>
      </w:r>
      <w:r w:rsidR="006248EC">
        <w:rPr>
          <w:rFonts w:ascii="Times New Roman" w:hAnsi="Times New Roman" w:cs="Times New Roman"/>
          <w:sz w:val="24"/>
          <w:szCs w:val="24"/>
        </w:rPr>
        <w:t xml:space="preserve">Investment </w:t>
      </w:r>
      <w:r w:rsidR="00F5377A">
        <w:rPr>
          <w:rFonts w:ascii="Times New Roman" w:hAnsi="Times New Roman" w:cs="Times New Roman"/>
          <w:sz w:val="24"/>
          <w:szCs w:val="24"/>
        </w:rPr>
        <w:t xml:space="preserve">Fee </w:t>
      </w:r>
      <w:r w:rsidR="006248EC">
        <w:rPr>
          <w:rFonts w:ascii="Times New Roman" w:hAnsi="Times New Roman" w:cs="Times New Roman"/>
          <w:sz w:val="24"/>
          <w:szCs w:val="24"/>
        </w:rPr>
        <w:t>Schedule</w:t>
      </w:r>
      <w:r w:rsidR="00F5377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5377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B1F4A">
        <w:rPr>
          <w:rFonts w:ascii="Times New Roman" w:hAnsi="Times New Roman" w:cs="Times New Roman"/>
          <w:sz w:val="24"/>
          <w:szCs w:val="24"/>
        </w:rPr>
        <w:t>…</w:t>
      </w:r>
      <w:r w:rsidR="006248E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B1F4A">
        <w:rPr>
          <w:rFonts w:ascii="Times New Roman" w:hAnsi="Times New Roman" w:cs="Times New Roman"/>
          <w:sz w:val="24"/>
          <w:szCs w:val="24"/>
        </w:rPr>
        <w:t>……</w:t>
      </w:r>
      <w:r w:rsidR="00F44187">
        <w:rPr>
          <w:rFonts w:ascii="Times New Roman" w:hAnsi="Times New Roman" w:cs="Times New Roman"/>
          <w:sz w:val="24"/>
          <w:szCs w:val="24"/>
        </w:rPr>
        <w:t>.</w:t>
      </w:r>
      <w:r w:rsidR="00CB1F4A">
        <w:rPr>
          <w:rFonts w:ascii="Times New Roman" w:hAnsi="Times New Roman" w:cs="Times New Roman"/>
          <w:sz w:val="24"/>
          <w:szCs w:val="24"/>
        </w:rPr>
        <w:t>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63B36">
        <w:rPr>
          <w:rFonts w:ascii="Times New Roman" w:hAnsi="Times New Roman" w:cs="Times New Roman"/>
          <w:sz w:val="24"/>
          <w:szCs w:val="24"/>
        </w:rPr>
        <w:t>………</w:t>
      </w:r>
      <w:r w:rsidR="00966280">
        <w:rPr>
          <w:rFonts w:ascii="Times New Roman" w:hAnsi="Times New Roman" w:cs="Times New Roman"/>
          <w:sz w:val="24"/>
          <w:szCs w:val="24"/>
        </w:rPr>
        <w:t>….13</w:t>
      </w:r>
    </w:p>
    <w:p w14:paraId="08259A41" w14:textId="16DCACF2" w:rsidR="00663B36" w:rsidRDefault="00663B36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FY2</w:t>
      </w:r>
      <w:r w:rsidR="00296A4A"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</w:t>
      </w:r>
      <w:r w:rsidR="008807AF">
        <w:rPr>
          <w:rFonts w:ascii="Times New Roman" w:hAnsi="Times New Roman" w:cs="Times New Roman"/>
          <w:sz w:val="24"/>
          <w:szCs w:val="24"/>
        </w:rPr>
        <w:t xml:space="preserve"> Summary……….………………………………Separate attachment</w:t>
      </w:r>
    </w:p>
    <w:p w14:paraId="3D764271" w14:textId="71812400" w:rsidR="00663B36" w:rsidRDefault="00663B36" w:rsidP="00663B3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FY2</w:t>
      </w:r>
      <w:r w:rsidR="00296A4A"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Endowment Transaction Re</w:t>
      </w:r>
      <w:r w:rsidR="00303E95">
        <w:rPr>
          <w:rFonts w:ascii="Times New Roman" w:hAnsi="Times New Roman" w:cs="Times New Roman"/>
          <w:sz w:val="24"/>
          <w:szCs w:val="24"/>
        </w:rPr>
        <w:t>port…………………</w:t>
      </w:r>
      <w:proofErr w:type="gramStart"/>
      <w:r w:rsidR="008807AF">
        <w:rPr>
          <w:rFonts w:ascii="Times New Roman" w:hAnsi="Times New Roman" w:cs="Times New Roman"/>
          <w:sz w:val="24"/>
          <w:szCs w:val="24"/>
        </w:rPr>
        <w:t>....Separate</w:t>
      </w:r>
      <w:proofErr w:type="gramEnd"/>
      <w:r w:rsidR="008807AF">
        <w:rPr>
          <w:rFonts w:ascii="Times New Roman" w:hAnsi="Times New Roman" w:cs="Times New Roman"/>
          <w:sz w:val="24"/>
          <w:szCs w:val="24"/>
        </w:rPr>
        <w:t xml:space="preserve"> attachment</w:t>
      </w:r>
    </w:p>
    <w:p w14:paraId="5829845D" w14:textId="2B9C451C" w:rsidR="00663B36" w:rsidRDefault="00663B36" w:rsidP="00663B3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FY2</w:t>
      </w:r>
      <w:r w:rsidR="00296A4A"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 </w:t>
      </w:r>
      <w:r w:rsidR="008807AF">
        <w:rPr>
          <w:rFonts w:ascii="Times New Roman" w:hAnsi="Times New Roman" w:cs="Times New Roman"/>
          <w:sz w:val="24"/>
          <w:szCs w:val="24"/>
        </w:rPr>
        <w:t>Listing………………………………….</w:t>
      </w:r>
      <w:proofErr w:type="gramStart"/>
      <w:r w:rsidR="00303E95">
        <w:rPr>
          <w:rFonts w:ascii="Times New Roman" w:hAnsi="Times New Roman" w:cs="Times New Roman"/>
          <w:sz w:val="24"/>
          <w:szCs w:val="24"/>
        </w:rPr>
        <w:t>…</w:t>
      </w:r>
      <w:r w:rsidR="008807AF">
        <w:rPr>
          <w:rFonts w:ascii="Times New Roman" w:hAnsi="Times New Roman" w:cs="Times New Roman"/>
          <w:sz w:val="24"/>
          <w:szCs w:val="24"/>
        </w:rPr>
        <w:t>.Separate</w:t>
      </w:r>
      <w:proofErr w:type="gramEnd"/>
      <w:r w:rsidR="008807AF">
        <w:rPr>
          <w:rFonts w:ascii="Times New Roman" w:hAnsi="Times New Roman" w:cs="Times New Roman"/>
          <w:sz w:val="24"/>
          <w:szCs w:val="24"/>
        </w:rPr>
        <w:t xml:space="preserve"> attachment</w:t>
      </w:r>
    </w:p>
    <w:p w14:paraId="77E3CD91" w14:textId="467822B6" w:rsidR="009152AB" w:rsidRDefault="009152AB" w:rsidP="00861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514C0" w14:textId="5B571488" w:rsidR="006248EC" w:rsidRDefault="006248EC" w:rsidP="00861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B8E9B" w14:textId="7E62AEEC" w:rsidR="006248EC" w:rsidRDefault="006248EC" w:rsidP="006248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DD8DF2" w14:textId="45CFFB86" w:rsidR="006248EC" w:rsidRDefault="006248EC" w:rsidP="00861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12DA1" w14:textId="77777777" w:rsidR="007B4942" w:rsidRPr="00861B0F" w:rsidRDefault="001676F6" w:rsidP="00861B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8EC">
        <w:rPr>
          <w:rFonts w:ascii="Times New Roman" w:hAnsi="Times New Roman" w:cs="Times New Roman"/>
          <w:sz w:val="24"/>
          <w:szCs w:val="24"/>
        </w:rPr>
        <w:br w:type="page"/>
      </w:r>
      <w:r w:rsidR="0078169E" w:rsidRPr="00861B0F">
        <w:rPr>
          <w:rFonts w:ascii="Times New Roman" w:hAnsi="Times New Roman" w:cs="Times New Roman"/>
          <w:b/>
          <w:sz w:val="32"/>
          <w:szCs w:val="32"/>
        </w:rPr>
        <w:lastRenderedPageBreak/>
        <w:t>Introduction</w:t>
      </w:r>
    </w:p>
    <w:p w14:paraId="788E302E" w14:textId="3A269CED" w:rsidR="00861B0F" w:rsidRPr="00861B0F" w:rsidRDefault="00861B0F" w:rsidP="00861B0F">
      <w:pPr>
        <w:keepNext/>
        <w:framePr w:dropCap="drop" w:lines="3" w:wrap="around" w:vAnchor="text" w:hAnchor="text"/>
        <w:spacing w:after="0" w:line="893" w:lineRule="exact"/>
        <w:textAlignment w:val="baseline"/>
        <w:rPr>
          <w:rFonts w:ascii="Times New Roman" w:hAnsi="Times New Roman" w:cs="Times New Roman"/>
          <w:position w:val="-9"/>
          <w:sz w:val="116"/>
          <w:szCs w:val="24"/>
        </w:rPr>
      </w:pPr>
      <w:r w:rsidRPr="00861B0F">
        <w:rPr>
          <w:rFonts w:ascii="Times New Roman" w:hAnsi="Times New Roman" w:cs="Times New Roman"/>
          <w:position w:val="-9"/>
          <w:sz w:val="116"/>
          <w:szCs w:val="24"/>
        </w:rPr>
        <w:t>W</w:t>
      </w:r>
    </w:p>
    <w:p w14:paraId="3EFA45BD" w14:textId="19619E09" w:rsidR="008C788E" w:rsidRDefault="004D62E8" w:rsidP="008C788E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are pleased to present the University of Illinois System Office of Investments Annual Report</w:t>
      </w:r>
      <w:r w:rsidR="0078169E">
        <w:rPr>
          <w:rFonts w:ascii="Times New Roman" w:hAnsi="Times New Roman" w:cs="Times New Roman"/>
          <w:sz w:val="24"/>
          <w:szCs w:val="24"/>
        </w:rPr>
        <w:t xml:space="preserve"> for the </w:t>
      </w:r>
      <w:r w:rsidR="000B05F2">
        <w:rPr>
          <w:rFonts w:ascii="Times New Roman" w:hAnsi="Times New Roman" w:cs="Times New Roman"/>
          <w:sz w:val="24"/>
          <w:szCs w:val="24"/>
        </w:rPr>
        <w:t>202</w:t>
      </w:r>
      <w:r w:rsidR="00CD23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1E">
        <w:rPr>
          <w:rFonts w:ascii="Times New Roman" w:hAnsi="Times New Roman" w:cs="Times New Roman"/>
          <w:sz w:val="24"/>
          <w:szCs w:val="24"/>
        </w:rPr>
        <w:t>fiscal</w:t>
      </w:r>
      <w:r>
        <w:rPr>
          <w:rFonts w:ascii="Times New Roman" w:hAnsi="Times New Roman" w:cs="Times New Roman"/>
          <w:sz w:val="24"/>
          <w:szCs w:val="24"/>
        </w:rPr>
        <w:t xml:space="preserve"> year.</w:t>
      </w:r>
      <w:r w:rsidR="0078169E">
        <w:rPr>
          <w:rFonts w:ascii="Times New Roman" w:hAnsi="Times New Roman" w:cs="Times New Roman"/>
          <w:sz w:val="24"/>
          <w:szCs w:val="24"/>
        </w:rPr>
        <w:t xml:space="preserve"> </w:t>
      </w:r>
      <w:r w:rsidR="00762F2F">
        <w:rPr>
          <w:rFonts w:ascii="Times New Roman" w:hAnsi="Times New Roman" w:cs="Times New Roman"/>
          <w:sz w:val="24"/>
          <w:szCs w:val="24"/>
        </w:rPr>
        <w:t>All data in</w:t>
      </w:r>
      <w:r w:rsidR="00FB4A5D">
        <w:rPr>
          <w:rFonts w:ascii="Times New Roman" w:hAnsi="Times New Roman" w:cs="Times New Roman"/>
          <w:sz w:val="24"/>
          <w:szCs w:val="24"/>
        </w:rPr>
        <w:t xml:space="preserve"> the report is</w:t>
      </w:r>
      <w:r w:rsidR="000B05F2">
        <w:rPr>
          <w:rFonts w:ascii="Times New Roman" w:hAnsi="Times New Roman" w:cs="Times New Roman"/>
          <w:sz w:val="24"/>
          <w:szCs w:val="24"/>
        </w:rPr>
        <w:t xml:space="preserve"> as of June 30, 202</w:t>
      </w:r>
      <w:r w:rsidR="00CD2343">
        <w:rPr>
          <w:rFonts w:ascii="Times New Roman" w:hAnsi="Times New Roman" w:cs="Times New Roman"/>
          <w:sz w:val="24"/>
          <w:szCs w:val="24"/>
        </w:rPr>
        <w:t>1</w:t>
      </w:r>
      <w:r w:rsidR="00762F2F">
        <w:rPr>
          <w:rFonts w:ascii="Times New Roman" w:hAnsi="Times New Roman" w:cs="Times New Roman"/>
          <w:sz w:val="24"/>
          <w:szCs w:val="24"/>
        </w:rPr>
        <w:t>, unless noted otherwise.</w:t>
      </w:r>
    </w:p>
    <w:p w14:paraId="7F439EED" w14:textId="55C80833" w:rsidR="000B05F2" w:rsidRPr="00FA46B8" w:rsidRDefault="00041089" w:rsidP="008C788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21FD3">
        <w:rPr>
          <w:rFonts w:ascii="Times New Roman" w:hAnsi="Times New Roman" w:cs="Times New Roman"/>
          <w:sz w:val="24"/>
          <w:szCs w:val="24"/>
        </w:rPr>
        <w:t>F</w:t>
      </w:r>
      <w:r w:rsidR="000B05F2" w:rsidRPr="00121FD3">
        <w:rPr>
          <w:rFonts w:ascii="Times New Roman" w:hAnsi="Times New Roman" w:cs="Times New Roman"/>
          <w:sz w:val="24"/>
          <w:szCs w:val="24"/>
        </w:rPr>
        <w:t>iscal year 202</w:t>
      </w:r>
      <w:r w:rsidR="00813494" w:rsidRPr="00121FD3">
        <w:rPr>
          <w:rFonts w:ascii="Times New Roman" w:hAnsi="Times New Roman" w:cs="Times New Roman"/>
          <w:sz w:val="24"/>
          <w:szCs w:val="24"/>
        </w:rPr>
        <w:t>1</w:t>
      </w:r>
      <w:r w:rsidR="000B05F2" w:rsidRPr="00121FD3">
        <w:rPr>
          <w:rFonts w:ascii="Times New Roman" w:hAnsi="Times New Roman" w:cs="Times New Roman"/>
          <w:sz w:val="24"/>
          <w:szCs w:val="24"/>
        </w:rPr>
        <w:t xml:space="preserve"> </w:t>
      </w:r>
      <w:r w:rsidRPr="00121FD3">
        <w:rPr>
          <w:rFonts w:ascii="Times New Roman" w:hAnsi="Times New Roman" w:cs="Times New Roman"/>
          <w:sz w:val="24"/>
          <w:szCs w:val="24"/>
        </w:rPr>
        <w:t xml:space="preserve">brought </w:t>
      </w:r>
      <w:r w:rsidR="00121FD3" w:rsidRPr="00121FD3">
        <w:rPr>
          <w:rFonts w:ascii="Times New Roman" w:hAnsi="Times New Roman" w:cs="Times New Roman"/>
          <w:sz w:val="24"/>
          <w:szCs w:val="24"/>
        </w:rPr>
        <w:t xml:space="preserve">an </w:t>
      </w:r>
      <w:r w:rsidRPr="00121FD3">
        <w:rPr>
          <w:rFonts w:ascii="Times New Roman" w:hAnsi="Times New Roman" w:cs="Times New Roman"/>
          <w:sz w:val="24"/>
          <w:szCs w:val="24"/>
        </w:rPr>
        <w:t xml:space="preserve">economic recovery </w:t>
      </w:r>
      <w:r w:rsidR="00121FD3" w:rsidRPr="00121FD3">
        <w:rPr>
          <w:rFonts w:ascii="Times New Roman" w:hAnsi="Times New Roman" w:cs="Times New Roman"/>
          <w:sz w:val="24"/>
          <w:szCs w:val="24"/>
        </w:rPr>
        <w:t xml:space="preserve">without historic parallel. </w:t>
      </w:r>
      <w:r w:rsidR="00121FD3">
        <w:rPr>
          <w:rFonts w:ascii="Times New Roman" w:hAnsi="Times New Roman" w:cs="Times New Roman"/>
          <w:sz w:val="24"/>
          <w:szCs w:val="24"/>
        </w:rPr>
        <w:t>The economic reopening</w:t>
      </w:r>
      <w:r w:rsidR="00FA46B8">
        <w:rPr>
          <w:rFonts w:ascii="Times New Roman" w:hAnsi="Times New Roman" w:cs="Times New Roman"/>
          <w:sz w:val="24"/>
          <w:szCs w:val="24"/>
        </w:rPr>
        <w:t xml:space="preserve"> </w:t>
      </w:r>
      <w:r w:rsidR="003B40D1">
        <w:rPr>
          <w:rFonts w:ascii="Times New Roman" w:hAnsi="Times New Roman" w:cs="Times New Roman"/>
          <w:sz w:val="24"/>
          <w:szCs w:val="24"/>
        </w:rPr>
        <w:t>combined with</w:t>
      </w:r>
      <w:r w:rsidR="00FA46B8">
        <w:rPr>
          <w:rFonts w:ascii="Times New Roman" w:hAnsi="Times New Roman" w:cs="Times New Roman"/>
          <w:sz w:val="24"/>
          <w:szCs w:val="24"/>
        </w:rPr>
        <w:t xml:space="preserve"> enormous policy support </w:t>
      </w:r>
      <w:r w:rsidR="00121FD3">
        <w:rPr>
          <w:rFonts w:ascii="Times New Roman" w:hAnsi="Times New Roman" w:cs="Times New Roman"/>
          <w:sz w:val="24"/>
          <w:szCs w:val="24"/>
        </w:rPr>
        <w:t xml:space="preserve">propelled the rebound but also </w:t>
      </w:r>
      <w:r w:rsidR="00307B62">
        <w:rPr>
          <w:rFonts w:ascii="Times New Roman" w:hAnsi="Times New Roman" w:cs="Times New Roman"/>
          <w:sz w:val="24"/>
          <w:szCs w:val="24"/>
        </w:rPr>
        <w:t>triggered</w:t>
      </w:r>
      <w:r w:rsidR="00121FD3">
        <w:rPr>
          <w:rFonts w:ascii="Times New Roman" w:hAnsi="Times New Roman" w:cs="Times New Roman"/>
          <w:sz w:val="24"/>
          <w:szCs w:val="24"/>
        </w:rPr>
        <w:t xml:space="preserve"> goods and labor shortages and a jump in inflation. The investment program maintained a strong liquidity profile </w:t>
      </w:r>
      <w:r w:rsidR="00FA46B8">
        <w:rPr>
          <w:rFonts w:ascii="Times New Roman" w:hAnsi="Times New Roman" w:cs="Times New Roman"/>
          <w:sz w:val="24"/>
          <w:szCs w:val="24"/>
        </w:rPr>
        <w:t>while taking</w:t>
      </w:r>
      <w:r w:rsidR="00121FD3">
        <w:rPr>
          <w:rFonts w:ascii="Times New Roman" w:hAnsi="Times New Roman" w:cs="Times New Roman"/>
          <w:sz w:val="24"/>
          <w:szCs w:val="24"/>
        </w:rPr>
        <w:t xml:space="preserve"> advantage of dislocations.  Over the </w:t>
      </w:r>
      <w:r w:rsidR="00182480">
        <w:rPr>
          <w:rFonts w:ascii="Times New Roman" w:hAnsi="Times New Roman" w:cs="Times New Roman"/>
          <w:sz w:val="24"/>
          <w:szCs w:val="24"/>
        </w:rPr>
        <w:t>one-year</w:t>
      </w:r>
      <w:r w:rsidR="00121FD3">
        <w:rPr>
          <w:rFonts w:ascii="Times New Roman" w:hAnsi="Times New Roman" w:cs="Times New Roman"/>
          <w:sz w:val="24"/>
          <w:szCs w:val="24"/>
        </w:rPr>
        <w:t xml:space="preserve"> period, t</w:t>
      </w:r>
      <w:r w:rsidR="00CD2343">
        <w:rPr>
          <w:rFonts w:ascii="Times New Roman" w:hAnsi="Times New Roman" w:cs="Times New Roman"/>
          <w:sz w:val="24"/>
          <w:szCs w:val="24"/>
        </w:rPr>
        <w:t xml:space="preserve">he </w:t>
      </w:r>
      <w:r w:rsidR="00DA1613">
        <w:rPr>
          <w:rFonts w:ascii="Times New Roman" w:hAnsi="Times New Roman" w:cs="Times New Roman"/>
          <w:sz w:val="24"/>
          <w:szCs w:val="24"/>
        </w:rPr>
        <w:t>endowment p</w:t>
      </w:r>
      <w:r w:rsidR="00BC3B47">
        <w:rPr>
          <w:rFonts w:ascii="Times New Roman" w:hAnsi="Times New Roman" w:cs="Times New Roman"/>
          <w:sz w:val="24"/>
          <w:szCs w:val="24"/>
        </w:rPr>
        <w:t xml:space="preserve">ool </w:t>
      </w:r>
      <w:r w:rsidR="00CD2343">
        <w:rPr>
          <w:rFonts w:ascii="Times New Roman" w:hAnsi="Times New Roman" w:cs="Times New Roman"/>
          <w:sz w:val="24"/>
          <w:szCs w:val="24"/>
        </w:rPr>
        <w:t xml:space="preserve">returned </w:t>
      </w:r>
      <w:r w:rsidR="00FA46B8">
        <w:rPr>
          <w:rFonts w:ascii="Times New Roman" w:hAnsi="Times New Roman" w:cs="Times New Roman"/>
          <w:sz w:val="24"/>
          <w:szCs w:val="24"/>
        </w:rPr>
        <w:t>27.</w:t>
      </w:r>
      <w:r w:rsidR="00307B62">
        <w:rPr>
          <w:rFonts w:ascii="Times New Roman" w:hAnsi="Times New Roman" w:cs="Times New Roman"/>
          <w:sz w:val="24"/>
          <w:szCs w:val="24"/>
        </w:rPr>
        <w:t>7</w:t>
      </w:r>
      <w:r w:rsidR="00CD2343">
        <w:rPr>
          <w:rFonts w:ascii="Times New Roman" w:hAnsi="Times New Roman" w:cs="Times New Roman"/>
          <w:sz w:val="24"/>
          <w:szCs w:val="24"/>
        </w:rPr>
        <w:t>%</w:t>
      </w:r>
      <w:r w:rsidR="00BC3B47">
        <w:rPr>
          <w:rFonts w:ascii="Times New Roman" w:hAnsi="Times New Roman" w:cs="Times New Roman"/>
          <w:sz w:val="24"/>
          <w:szCs w:val="24"/>
        </w:rPr>
        <w:t>, whi</w:t>
      </w:r>
      <w:r w:rsidR="00DA1613">
        <w:rPr>
          <w:rFonts w:ascii="Times New Roman" w:hAnsi="Times New Roman" w:cs="Times New Roman"/>
          <w:sz w:val="24"/>
          <w:szCs w:val="24"/>
        </w:rPr>
        <w:t>le the o</w:t>
      </w:r>
      <w:r w:rsidR="00AA3F59">
        <w:rPr>
          <w:rFonts w:ascii="Times New Roman" w:hAnsi="Times New Roman" w:cs="Times New Roman"/>
          <w:sz w:val="24"/>
          <w:szCs w:val="24"/>
        </w:rPr>
        <w:t>pe</w:t>
      </w:r>
      <w:r w:rsidR="00DA1613">
        <w:rPr>
          <w:rFonts w:ascii="Times New Roman" w:hAnsi="Times New Roman" w:cs="Times New Roman"/>
          <w:sz w:val="24"/>
          <w:szCs w:val="24"/>
        </w:rPr>
        <w:t>rating p</w:t>
      </w:r>
      <w:r w:rsidR="00AA3F59">
        <w:rPr>
          <w:rFonts w:ascii="Times New Roman" w:hAnsi="Times New Roman" w:cs="Times New Roman"/>
          <w:sz w:val="24"/>
          <w:szCs w:val="24"/>
        </w:rPr>
        <w:t xml:space="preserve">ool returned </w:t>
      </w:r>
      <w:r w:rsidR="00FA46B8">
        <w:rPr>
          <w:rFonts w:ascii="Times New Roman" w:hAnsi="Times New Roman" w:cs="Times New Roman"/>
          <w:sz w:val="24"/>
          <w:szCs w:val="24"/>
        </w:rPr>
        <w:t>0.7</w:t>
      </w:r>
      <w:r w:rsidR="00DA1613">
        <w:rPr>
          <w:rFonts w:ascii="Times New Roman" w:hAnsi="Times New Roman" w:cs="Times New Roman"/>
          <w:sz w:val="24"/>
          <w:szCs w:val="24"/>
        </w:rPr>
        <w:t>%</w:t>
      </w:r>
      <w:r w:rsidR="003B40D1">
        <w:rPr>
          <w:rFonts w:ascii="Times New Roman" w:hAnsi="Times New Roman" w:cs="Times New Roman"/>
          <w:sz w:val="24"/>
          <w:szCs w:val="24"/>
        </w:rPr>
        <w:t>,</w:t>
      </w:r>
      <w:r w:rsidR="00121FD3">
        <w:rPr>
          <w:rFonts w:ascii="Times New Roman" w:hAnsi="Times New Roman" w:cs="Times New Roman"/>
          <w:sz w:val="24"/>
          <w:szCs w:val="24"/>
        </w:rPr>
        <w:t xml:space="preserve"> b</w:t>
      </w:r>
      <w:r w:rsidR="00CD2343">
        <w:rPr>
          <w:rFonts w:ascii="Times New Roman" w:hAnsi="Times New Roman" w:cs="Times New Roman"/>
          <w:sz w:val="24"/>
          <w:szCs w:val="24"/>
        </w:rPr>
        <w:t>oth outperforming respective benchmarks</w:t>
      </w:r>
      <w:r w:rsidR="00DA1613">
        <w:rPr>
          <w:rFonts w:ascii="Times New Roman" w:hAnsi="Times New Roman" w:cs="Times New Roman"/>
          <w:sz w:val="24"/>
          <w:szCs w:val="24"/>
        </w:rPr>
        <w:t>. Collectively, the e</w:t>
      </w:r>
      <w:r w:rsidR="00BC3B47">
        <w:rPr>
          <w:rFonts w:ascii="Times New Roman" w:hAnsi="Times New Roman" w:cs="Times New Roman"/>
          <w:sz w:val="24"/>
          <w:szCs w:val="24"/>
        </w:rPr>
        <w:t>ndowment an</w:t>
      </w:r>
      <w:r w:rsidR="00DA1613">
        <w:rPr>
          <w:rFonts w:ascii="Times New Roman" w:hAnsi="Times New Roman" w:cs="Times New Roman"/>
          <w:sz w:val="24"/>
          <w:szCs w:val="24"/>
        </w:rPr>
        <w:t>d op</w:t>
      </w:r>
      <w:r w:rsidR="00DA1613" w:rsidRPr="00FA46B8">
        <w:rPr>
          <w:rFonts w:ascii="Times New Roman" w:hAnsi="Times New Roman" w:cs="Times New Roman"/>
          <w:sz w:val="24"/>
          <w:szCs w:val="24"/>
        </w:rPr>
        <w:t>erating p</w:t>
      </w:r>
      <w:r w:rsidR="00AA3F59" w:rsidRPr="00FA46B8">
        <w:rPr>
          <w:rFonts w:ascii="Times New Roman" w:hAnsi="Times New Roman" w:cs="Times New Roman"/>
          <w:sz w:val="24"/>
          <w:szCs w:val="24"/>
        </w:rPr>
        <w:t>ools distributed $</w:t>
      </w:r>
      <w:r w:rsidR="00307B62">
        <w:rPr>
          <w:rFonts w:ascii="Times New Roman" w:hAnsi="Times New Roman" w:cs="Times New Roman"/>
          <w:sz w:val="24"/>
          <w:szCs w:val="24"/>
        </w:rPr>
        <w:t>80</w:t>
      </w:r>
      <w:r w:rsidR="00BC3B47" w:rsidRPr="00FA46B8">
        <w:rPr>
          <w:rFonts w:ascii="Times New Roman" w:hAnsi="Times New Roman" w:cs="Times New Roman"/>
          <w:sz w:val="24"/>
          <w:szCs w:val="24"/>
        </w:rPr>
        <w:t xml:space="preserve"> million in investment income to the University System. </w:t>
      </w:r>
    </w:p>
    <w:p w14:paraId="1AE9B68F" w14:textId="190EF7C6" w:rsidR="00722284" w:rsidRDefault="00182480" w:rsidP="008C788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The</w:t>
      </w:r>
      <w:r w:rsidR="00AA3F59" w:rsidRPr="00FA46B8">
        <w:rPr>
          <w:rFonts w:ascii="Times New Roman" w:hAnsi="Times New Roman" w:cs="Times New Roman"/>
          <w:sz w:val="24"/>
          <w:szCs w:val="24"/>
        </w:rPr>
        <w:t xml:space="preserve"> investment program proceeded with </w:t>
      </w:r>
      <w:r w:rsidR="00FA46B8">
        <w:rPr>
          <w:rFonts w:ascii="Times New Roman" w:hAnsi="Times New Roman" w:cs="Times New Roman"/>
          <w:sz w:val="24"/>
          <w:szCs w:val="24"/>
        </w:rPr>
        <w:t xml:space="preserve">several </w:t>
      </w:r>
      <w:r w:rsidR="00AA3F59" w:rsidRPr="00FA46B8">
        <w:rPr>
          <w:rFonts w:ascii="Times New Roman" w:hAnsi="Times New Roman" w:cs="Times New Roman"/>
          <w:sz w:val="24"/>
          <w:szCs w:val="24"/>
        </w:rPr>
        <w:t xml:space="preserve">projects and </w:t>
      </w:r>
      <w:r w:rsidR="007E4EDE" w:rsidRPr="00FA46B8">
        <w:rPr>
          <w:rFonts w:ascii="Times New Roman" w:hAnsi="Times New Roman" w:cs="Times New Roman"/>
          <w:sz w:val="24"/>
          <w:szCs w:val="24"/>
        </w:rPr>
        <w:t xml:space="preserve">new </w:t>
      </w:r>
      <w:r w:rsidR="00AA3F59" w:rsidRPr="00FA46B8">
        <w:rPr>
          <w:rFonts w:ascii="Times New Roman" w:hAnsi="Times New Roman" w:cs="Times New Roman"/>
          <w:sz w:val="24"/>
          <w:szCs w:val="24"/>
        </w:rPr>
        <w:t>investments</w:t>
      </w:r>
      <w:r w:rsidR="00FA46B8" w:rsidRPr="00FA46B8">
        <w:rPr>
          <w:rFonts w:ascii="Times New Roman" w:hAnsi="Times New Roman" w:cs="Times New Roman"/>
          <w:sz w:val="24"/>
          <w:szCs w:val="24"/>
        </w:rPr>
        <w:t xml:space="preserve"> throughout the year</w:t>
      </w:r>
      <w:r w:rsidR="00AA3F59" w:rsidRPr="00FA46B8">
        <w:rPr>
          <w:rFonts w:ascii="Times New Roman" w:hAnsi="Times New Roman" w:cs="Times New Roman"/>
          <w:sz w:val="24"/>
          <w:szCs w:val="24"/>
        </w:rPr>
        <w:t xml:space="preserve">. </w:t>
      </w:r>
      <w:r w:rsidR="003B40D1">
        <w:rPr>
          <w:rFonts w:ascii="Times New Roman" w:hAnsi="Times New Roman" w:cs="Times New Roman"/>
          <w:sz w:val="24"/>
          <w:szCs w:val="24"/>
        </w:rPr>
        <w:t xml:space="preserve">Staff published a new website to the public to further increase transparency and highlight accomplishments. </w:t>
      </w:r>
      <w:r w:rsidR="00CD2343" w:rsidRPr="00FA46B8">
        <w:rPr>
          <w:rFonts w:ascii="Times New Roman" w:hAnsi="Times New Roman" w:cs="Times New Roman"/>
          <w:sz w:val="24"/>
          <w:szCs w:val="24"/>
        </w:rPr>
        <w:t>The</w:t>
      </w:r>
      <w:r w:rsidR="000B05F2">
        <w:rPr>
          <w:rFonts w:ascii="Times New Roman" w:hAnsi="Times New Roman" w:cs="Times New Roman"/>
          <w:sz w:val="24"/>
          <w:szCs w:val="24"/>
        </w:rPr>
        <w:t xml:space="preserve"> financial sustainability program </w:t>
      </w:r>
      <w:r>
        <w:rPr>
          <w:rFonts w:ascii="Times New Roman" w:hAnsi="Times New Roman" w:cs="Times New Roman"/>
          <w:sz w:val="24"/>
          <w:szCs w:val="24"/>
        </w:rPr>
        <w:t>continued with great success as the endowment’s</w:t>
      </w:r>
      <w:r w:rsidR="000B05F2">
        <w:rPr>
          <w:rFonts w:ascii="Times New Roman" w:hAnsi="Times New Roman" w:cs="Times New Roman"/>
          <w:sz w:val="24"/>
          <w:szCs w:val="24"/>
        </w:rPr>
        <w:t xml:space="preserve"> seed investment of $160 million in </w:t>
      </w:r>
      <w:r>
        <w:rPr>
          <w:rFonts w:ascii="Times New Roman" w:hAnsi="Times New Roman" w:cs="Times New Roman"/>
          <w:sz w:val="24"/>
          <w:szCs w:val="24"/>
        </w:rPr>
        <w:t xml:space="preserve">the BlackRock </w:t>
      </w:r>
      <w:proofErr w:type="spellStart"/>
      <w:r>
        <w:rPr>
          <w:rFonts w:ascii="Times New Roman" w:hAnsi="Times New Roman" w:cs="Times New Roman"/>
          <w:sz w:val="24"/>
          <w:szCs w:val="24"/>
        </w:rPr>
        <w:t>ESG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Insights strategy grew to $252 million, returning 47% since inception</w:t>
      </w:r>
      <w:r w:rsidR="00FA46B8">
        <w:rPr>
          <w:rFonts w:ascii="Times New Roman" w:hAnsi="Times New Roman" w:cs="Times New Roman"/>
          <w:sz w:val="24"/>
          <w:szCs w:val="24"/>
        </w:rPr>
        <w:t xml:space="preserve"> and outperforming its benchmark by </w:t>
      </w:r>
      <w:r w:rsidR="003B40D1">
        <w:rPr>
          <w:rFonts w:ascii="Times New Roman" w:hAnsi="Times New Roman" w:cs="Times New Roman"/>
          <w:sz w:val="24"/>
          <w:szCs w:val="24"/>
        </w:rPr>
        <w:t>1.2%</w:t>
      </w:r>
      <w:r w:rsidR="000B05F2">
        <w:rPr>
          <w:rFonts w:ascii="Times New Roman" w:hAnsi="Times New Roman" w:cs="Times New Roman"/>
          <w:sz w:val="24"/>
          <w:szCs w:val="24"/>
        </w:rPr>
        <w:t>.</w:t>
      </w:r>
      <w:r w:rsidR="00FA46B8">
        <w:rPr>
          <w:rFonts w:ascii="Times New Roman" w:hAnsi="Times New Roman" w:cs="Times New Roman"/>
          <w:sz w:val="24"/>
          <w:szCs w:val="24"/>
        </w:rPr>
        <w:t xml:space="preserve"> </w:t>
      </w:r>
      <w:r w:rsidR="00DA1613">
        <w:rPr>
          <w:rFonts w:ascii="Times New Roman" w:hAnsi="Times New Roman" w:cs="Times New Roman"/>
          <w:sz w:val="24"/>
          <w:szCs w:val="24"/>
        </w:rPr>
        <w:t>In the endowment p</w:t>
      </w:r>
      <w:r w:rsidR="000B05F2">
        <w:rPr>
          <w:rFonts w:ascii="Times New Roman" w:hAnsi="Times New Roman" w:cs="Times New Roman"/>
          <w:sz w:val="24"/>
          <w:szCs w:val="24"/>
        </w:rPr>
        <w:t xml:space="preserve">ool, investments were made in </w:t>
      </w:r>
      <w:r w:rsidR="00A67550">
        <w:rPr>
          <w:rFonts w:ascii="Times New Roman" w:hAnsi="Times New Roman" w:cs="Times New Roman"/>
          <w:sz w:val="24"/>
          <w:szCs w:val="24"/>
        </w:rPr>
        <w:t xml:space="preserve">the following partnerships/funds: </w:t>
      </w:r>
      <w:r>
        <w:rPr>
          <w:rFonts w:ascii="Times New Roman" w:hAnsi="Times New Roman" w:cs="Times New Roman"/>
          <w:sz w:val="24"/>
          <w:szCs w:val="24"/>
        </w:rPr>
        <w:t>Icon</w:t>
      </w:r>
      <w:r w:rsidR="00FA46B8">
        <w:rPr>
          <w:rFonts w:ascii="Times New Roman" w:hAnsi="Times New Roman" w:cs="Times New Roman"/>
          <w:sz w:val="24"/>
          <w:szCs w:val="24"/>
        </w:rPr>
        <w:t xml:space="preserve"> Partners</w:t>
      </w:r>
      <w:r>
        <w:rPr>
          <w:rFonts w:ascii="Times New Roman" w:hAnsi="Times New Roman" w:cs="Times New Roman"/>
          <w:sz w:val="24"/>
          <w:szCs w:val="24"/>
        </w:rPr>
        <w:t xml:space="preserve"> I, II and IV (global equity)</w:t>
      </w:r>
      <w:r w:rsidR="003B4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6B8">
        <w:rPr>
          <w:rFonts w:ascii="Times New Roman" w:hAnsi="Times New Roman" w:cs="Times New Roman"/>
          <w:sz w:val="24"/>
          <w:szCs w:val="24"/>
        </w:rPr>
        <w:t>Clearlake Flagship Plus</w:t>
      </w:r>
      <w:r w:rsidR="000B05F2">
        <w:rPr>
          <w:rFonts w:ascii="Times New Roman" w:hAnsi="Times New Roman" w:cs="Times New Roman"/>
          <w:sz w:val="24"/>
          <w:szCs w:val="24"/>
        </w:rPr>
        <w:t xml:space="preserve"> </w:t>
      </w:r>
      <w:r w:rsidR="00FA46B8">
        <w:rPr>
          <w:rFonts w:ascii="Times New Roman" w:hAnsi="Times New Roman" w:cs="Times New Roman"/>
          <w:sz w:val="24"/>
          <w:szCs w:val="24"/>
        </w:rPr>
        <w:t xml:space="preserve">Partners </w:t>
      </w:r>
      <w:r w:rsidR="00DA1613">
        <w:rPr>
          <w:rFonts w:ascii="Times New Roman" w:hAnsi="Times New Roman" w:cs="Times New Roman"/>
          <w:sz w:val="24"/>
          <w:szCs w:val="24"/>
        </w:rPr>
        <w:t>(g</w:t>
      </w:r>
      <w:r w:rsidR="00A67550">
        <w:rPr>
          <w:rFonts w:ascii="Times New Roman" w:hAnsi="Times New Roman" w:cs="Times New Roman"/>
          <w:sz w:val="24"/>
          <w:szCs w:val="24"/>
        </w:rPr>
        <w:t>l</w:t>
      </w:r>
      <w:r w:rsidR="00DA1613">
        <w:rPr>
          <w:rFonts w:ascii="Times New Roman" w:hAnsi="Times New Roman" w:cs="Times New Roman"/>
          <w:sz w:val="24"/>
          <w:szCs w:val="24"/>
        </w:rPr>
        <w:t>obal e</w:t>
      </w:r>
      <w:r w:rsidR="00A67550">
        <w:rPr>
          <w:rFonts w:ascii="Times New Roman" w:hAnsi="Times New Roman" w:cs="Times New Roman"/>
          <w:sz w:val="24"/>
          <w:szCs w:val="24"/>
        </w:rPr>
        <w:t xml:space="preserve">quity), </w:t>
      </w:r>
      <w:r w:rsidR="00FA46B8">
        <w:rPr>
          <w:rFonts w:ascii="Times New Roman" w:hAnsi="Times New Roman" w:cs="Times New Roman"/>
          <w:sz w:val="24"/>
          <w:szCs w:val="24"/>
        </w:rPr>
        <w:t>Tiger PIP XIV</w:t>
      </w:r>
      <w:r w:rsidR="00DA1613">
        <w:rPr>
          <w:rFonts w:ascii="Times New Roman" w:hAnsi="Times New Roman" w:cs="Times New Roman"/>
          <w:sz w:val="24"/>
          <w:szCs w:val="24"/>
        </w:rPr>
        <w:t xml:space="preserve"> (global e</w:t>
      </w:r>
      <w:r w:rsidR="00A67550">
        <w:rPr>
          <w:rFonts w:ascii="Times New Roman" w:hAnsi="Times New Roman" w:cs="Times New Roman"/>
          <w:sz w:val="24"/>
          <w:szCs w:val="24"/>
        </w:rPr>
        <w:t xml:space="preserve">quity), </w:t>
      </w:r>
      <w:r w:rsidR="00FA46B8">
        <w:rPr>
          <w:rFonts w:ascii="Times New Roman" w:hAnsi="Times New Roman" w:cs="Times New Roman"/>
          <w:sz w:val="24"/>
          <w:szCs w:val="24"/>
        </w:rPr>
        <w:t>Merit Capital Partners VII</w:t>
      </w:r>
      <w:r w:rsidR="007E4EDE">
        <w:rPr>
          <w:rFonts w:ascii="Times New Roman" w:hAnsi="Times New Roman" w:cs="Times New Roman"/>
          <w:sz w:val="24"/>
          <w:szCs w:val="24"/>
        </w:rPr>
        <w:t xml:space="preserve"> </w:t>
      </w:r>
      <w:r w:rsidR="00A67550">
        <w:rPr>
          <w:rFonts w:ascii="Times New Roman" w:hAnsi="Times New Roman" w:cs="Times New Roman"/>
          <w:sz w:val="24"/>
          <w:szCs w:val="24"/>
        </w:rPr>
        <w:t>(</w:t>
      </w:r>
      <w:r w:rsidR="00DA1613">
        <w:rPr>
          <w:rFonts w:ascii="Times New Roman" w:hAnsi="Times New Roman" w:cs="Times New Roman"/>
          <w:sz w:val="24"/>
          <w:szCs w:val="24"/>
        </w:rPr>
        <w:t>global fixed i</w:t>
      </w:r>
      <w:r w:rsidR="00A67550">
        <w:rPr>
          <w:rFonts w:ascii="Times New Roman" w:hAnsi="Times New Roman" w:cs="Times New Roman"/>
          <w:sz w:val="24"/>
          <w:szCs w:val="24"/>
        </w:rPr>
        <w:t>ncome),</w:t>
      </w:r>
      <w:r w:rsidR="000B05F2">
        <w:rPr>
          <w:rFonts w:ascii="Times New Roman" w:hAnsi="Times New Roman" w:cs="Times New Roman"/>
          <w:sz w:val="24"/>
          <w:szCs w:val="24"/>
        </w:rPr>
        <w:t xml:space="preserve"> </w:t>
      </w:r>
      <w:r w:rsidR="00FA46B8">
        <w:rPr>
          <w:rFonts w:ascii="Times New Roman" w:hAnsi="Times New Roman" w:cs="Times New Roman"/>
          <w:sz w:val="24"/>
          <w:szCs w:val="24"/>
        </w:rPr>
        <w:t>Hudson Bay International</w:t>
      </w:r>
      <w:r w:rsidR="000B05F2">
        <w:rPr>
          <w:rFonts w:ascii="Times New Roman" w:hAnsi="Times New Roman" w:cs="Times New Roman"/>
          <w:sz w:val="24"/>
          <w:szCs w:val="24"/>
        </w:rPr>
        <w:t xml:space="preserve"> </w:t>
      </w:r>
      <w:r w:rsidR="00DA1613">
        <w:rPr>
          <w:rFonts w:ascii="Times New Roman" w:hAnsi="Times New Roman" w:cs="Times New Roman"/>
          <w:sz w:val="24"/>
          <w:szCs w:val="24"/>
        </w:rPr>
        <w:t>(diversifying s</w:t>
      </w:r>
      <w:r w:rsidR="00A67550">
        <w:rPr>
          <w:rFonts w:ascii="Times New Roman" w:hAnsi="Times New Roman" w:cs="Times New Roman"/>
          <w:sz w:val="24"/>
          <w:szCs w:val="24"/>
        </w:rPr>
        <w:t>trategies)</w:t>
      </w:r>
      <w:r w:rsidR="003B40D1">
        <w:rPr>
          <w:rFonts w:ascii="Times New Roman" w:hAnsi="Times New Roman" w:cs="Times New Roman"/>
          <w:sz w:val="24"/>
          <w:szCs w:val="24"/>
        </w:rPr>
        <w:t>,</w:t>
      </w:r>
      <w:r w:rsidR="00A67550">
        <w:rPr>
          <w:rFonts w:ascii="Times New Roman" w:hAnsi="Times New Roman" w:cs="Times New Roman"/>
          <w:sz w:val="24"/>
          <w:szCs w:val="24"/>
        </w:rPr>
        <w:t xml:space="preserve"> </w:t>
      </w:r>
      <w:r w:rsidR="000B05F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A46B8">
        <w:rPr>
          <w:rFonts w:ascii="Times New Roman" w:hAnsi="Times New Roman" w:cs="Times New Roman"/>
          <w:sz w:val="24"/>
          <w:szCs w:val="24"/>
        </w:rPr>
        <w:t>Singerman</w:t>
      </w:r>
      <w:proofErr w:type="spellEnd"/>
      <w:r w:rsidR="000B05F2">
        <w:rPr>
          <w:rFonts w:ascii="Times New Roman" w:hAnsi="Times New Roman" w:cs="Times New Roman"/>
          <w:sz w:val="24"/>
          <w:szCs w:val="24"/>
        </w:rPr>
        <w:t xml:space="preserve"> </w:t>
      </w:r>
      <w:r w:rsidR="00A67550">
        <w:rPr>
          <w:rFonts w:ascii="Times New Roman" w:hAnsi="Times New Roman" w:cs="Times New Roman"/>
          <w:sz w:val="24"/>
          <w:szCs w:val="24"/>
        </w:rPr>
        <w:t xml:space="preserve">Real Estate </w:t>
      </w:r>
      <w:r w:rsidR="00FA46B8">
        <w:rPr>
          <w:rFonts w:ascii="Times New Roman" w:hAnsi="Times New Roman" w:cs="Times New Roman"/>
          <w:sz w:val="24"/>
          <w:szCs w:val="24"/>
        </w:rPr>
        <w:t>Opportunity Fund</w:t>
      </w:r>
      <w:r w:rsidR="00DA1613">
        <w:rPr>
          <w:rFonts w:ascii="Times New Roman" w:hAnsi="Times New Roman" w:cs="Times New Roman"/>
          <w:sz w:val="24"/>
          <w:szCs w:val="24"/>
        </w:rPr>
        <w:t xml:space="preserve"> (real a</w:t>
      </w:r>
      <w:r w:rsidR="00A67550">
        <w:rPr>
          <w:rFonts w:ascii="Times New Roman" w:hAnsi="Times New Roman" w:cs="Times New Roman"/>
          <w:sz w:val="24"/>
          <w:szCs w:val="24"/>
        </w:rPr>
        <w:t>ssets).</w:t>
      </w:r>
      <w:r w:rsidR="00DA1613">
        <w:rPr>
          <w:rFonts w:ascii="Times New Roman" w:hAnsi="Times New Roman" w:cs="Times New Roman"/>
          <w:sz w:val="24"/>
          <w:szCs w:val="24"/>
        </w:rPr>
        <w:t xml:space="preserve"> </w:t>
      </w:r>
      <w:r w:rsidR="003B40D1">
        <w:rPr>
          <w:rFonts w:ascii="Times New Roman" w:hAnsi="Times New Roman" w:cs="Times New Roman"/>
          <w:sz w:val="24"/>
          <w:szCs w:val="24"/>
        </w:rPr>
        <w:t xml:space="preserve">In the operating pool, staff commenced a meaningful rebalancing to reduce duration and protect against rising rates. Furthermore, </w:t>
      </w:r>
      <w:r w:rsidR="000B05F2">
        <w:rPr>
          <w:rFonts w:ascii="Times New Roman" w:hAnsi="Times New Roman" w:cs="Times New Roman"/>
          <w:sz w:val="24"/>
          <w:szCs w:val="24"/>
        </w:rPr>
        <w:t>the plan to transfer $5 million per month in operating asse</w:t>
      </w:r>
      <w:r w:rsidR="00AC50BD">
        <w:rPr>
          <w:rFonts w:ascii="Times New Roman" w:hAnsi="Times New Roman" w:cs="Times New Roman"/>
          <w:sz w:val="24"/>
          <w:szCs w:val="24"/>
        </w:rPr>
        <w:t xml:space="preserve">ts to the endowment pool </w:t>
      </w:r>
      <w:r w:rsidR="00FA46B8">
        <w:rPr>
          <w:rFonts w:ascii="Times New Roman" w:hAnsi="Times New Roman" w:cs="Times New Roman"/>
          <w:sz w:val="24"/>
          <w:szCs w:val="24"/>
        </w:rPr>
        <w:t xml:space="preserve">concluded after reaching the 15% target allocation. </w:t>
      </w:r>
      <w:r w:rsidR="000B0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69EE9" w14:textId="6B97772B" w:rsidR="00AC50BD" w:rsidRDefault="007E4EDE" w:rsidP="00AC50BD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059B" wp14:editId="1864BC80">
                <wp:simplePos x="0" y="0"/>
                <wp:positionH relativeFrom="margin">
                  <wp:posOffset>-224790</wp:posOffset>
                </wp:positionH>
                <wp:positionV relativeFrom="paragraph">
                  <wp:posOffset>710565</wp:posOffset>
                </wp:positionV>
                <wp:extent cx="7105650" cy="2676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DED06" id="Rectangle 2" o:spid="_x0000_s1026" style="position:absolute;margin-left:-17.7pt;margin-top:55.95pt;width:559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" filled="f" strokecolor="#747070 [1614]" strokeweight="1pt">
                <w10:wrap anchorx="margin"/>
              </v:rect>
            </w:pict>
          </mc:Fallback>
        </mc:AlternateContent>
      </w:r>
      <w:r w:rsidR="00CB14FD">
        <w:rPr>
          <w:rFonts w:ascii="Times New Roman" w:hAnsi="Times New Roman" w:cs="Times New Roman"/>
          <w:sz w:val="24"/>
          <w:szCs w:val="24"/>
        </w:rPr>
        <w:t xml:space="preserve">Enclosed </w:t>
      </w:r>
      <w:r w:rsidR="00762F2F">
        <w:rPr>
          <w:rFonts w:ascii="Times New Roman" w:hAnsi="Times New Roman" w:cs="Times New Roman"/>
          <w:sz w:val="24"/>
          <w:szCs w:val="24"/>
        </w:rPr>
        <w:t>is an overview of</w:t>
      </w:r>
      <w:r w:rsidR="00925665">
        <w:rPr>
          <w:rFonts w:ascii="Times New Roman" w:hAnsi="Times New Roman" w:cs="Times New Roman"/>
          <w:sz w:val="24"/>
          <w:szCs w:val="24"/>
        </w:rPr>
        <w:t xml:space="preserve"> invested assets</w:t>
      </w:r>
      <w:r w:rsidR="00FB4A5D">
        <w:rPr>
          <w:rFonts w:ascii="Times New Roman" w:hAnsi="Times New Roman" w:cs="Times New Roman"/>
          <w:sz w:val="24"/>
          <w:szCs w:val="24"/>
        </w:rPr>
        <w:t xml:space="preserve"> and</w:t>
      </w:r>
      <w:r w:rsidR="00CB14FD">
        <w:rPr>
          <w:rFonts w:ascii="Times New Roman" w:hAnsi="Times New Roman" w:cs="Times New Roman"/>
          <w:sz w:val="24"/>
          <w:szCs w:val="24"/>
        </w:rPr>
        <w:t xml:space="preserve"> </w:t>
      </w:r>
      <w:r w:rsidR="00934BC7">
        <w:rPr>
          <w:rFonts w:ascii="Times New Roman" w:hAnsi="Times New Roman" w:cs="Times New Roman"/>
          <w:sz w:val="24"/>
          <w:szCs w:val="24"/>
        </w:rPr>
        <w:t>key performance and asset allocation measures</w:t>
      </w:r>
      <w:r w:rsidR="008C788E">
        <w:rPr>
          <w:rFonts w:ascii="Times New Roman" w:hAnsi="Times New Roman" w:cs="Times New Roman"/>
          <w:sz w:val="24"/>
          <w:szCs w:val="24"/>
        </w:rPr>
        <w:t xml:space="preserve"> for </w:t>
      </w:r>
      <w:r w:rsidR="00DA1613">
        <w:rPr>
          <w:rFonts w:ascii="Times New Roman" w:hAnsi="Times New Roman" w:cs="Times New Roman"/>
          <w:sz w:val="24"/>
          <w:szCs w:val="24"/>
        </w:rPr>
        <w:t>the endowment and operating p</w:t>
      </w:r>
      <w:r w:rsidR="00762F2F">
        <w:rPr>
          <w:rFonts w:ascii="Times New Roman" w:hAnsi="Times New Roman" w:cs="Times New Roman"/>
          <w:sz w:val="24"/>
          <w:szCs w:val="24"/>
        </w:rPr>
        <w:t>ools</w:t>
      </w:r>
      <w:r w:rsidR="00AC50BD">
        <w:rPr>
          <w:rFonts w:ascii="Times New Roman" w:hAnsi="Times New Roman" w:cs="Times New Roman"/>
          <w:sz w:val="24"/>
          <w:szCs w:val="24"/>
        </w:rPr>
        <w:t>.</w:t>
      </w:r>
      <w:r w:rsidR="003476E2">
        <w:rPr>
          <w:rFonts w:ascii="Times New Roman" w:hAnsi="Times New Roman" w:cs="Times New Roman"/>
          <w:sz w:val="24"/>
          <w:szCs w:val="24"/>
        </w:rPr>
        <w:t xml:space="preserve"> A fee summary, </w:t>
      </w:r>
      <w:r w:rsidR="003D3062">
        <w:rPr>
          <w:rFonts w:ascii="Times New Roman" w:hAnsi="Times New Roman" w:cs="Times New Roman"/>
          <w:sz w:val="24"/>
          <w:szCs w:val="24"/>
        </w:rPr>
        <w:t>security inventory</w:t>
      </w:r>
      <w:r w:rsidR="008C788E">
        <w:rPr>
          <w:rFonts w:ascii="Times New Roman" w:hAnsi="Times New Roman" w:cs="Times New Roman"/>
          <w:sz w:val="24"/>
          <w:szCs w:val="24"/>
        </w:rPr>
        <w:t xml:space="preserve"> </w:t>
      </w:r>
      <w:r w:rsidR="003476E2">
        <w:rPr>
          <w:rFonts w:ascii="Times New Roman" w:hAnsi="Times New Roman" w:cs="Times New Roman"/>
          <w:sz w:val="24"/>
          <w:szCs w:val="24"/>
        </w:rPr>
        <w:t xml:space="preserve">and transaction report </w:t>
      </w:r>
      <w:r w:rsidR="008C788E">
        <w:rPr>
          <w:rFonts w:ascii="Times New Roman" w:hAnsi="Times New Roman" w:cs="Times New Roman"/>
          <w:sz w:val="24"/>
          <w:szCs w:val="24"/>
        </w:rPr>
        <w:t xml:space="preserve">are included </w:t>
      </w:r>
      <w:r w:rsidR="00AC50BD">
        <w:rPr>
          <w:rFonts w:ascii="Times New Roman" w:hAnsi="Times New Roman" w:cs="Times New Roman"/>
          <w:sz w:val="24"/>
          <w:szCs w:val="24"/>
        </w:rPr>
        <w:t xml:space="preserve">as separate reports in the Board materials. </w:t>
      </w:r>
    </w:p>
    <w:p w14:paraId="1875BA1E" w14:textId="50AF3511" w:rsidR="00BC3B47" w:rsidRDefault="0070008A" w:rsidP="007E4ED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17B1D">
        <w:rPr>
          <w:rFonts w:ascii="Times New Roman" w:hAnsi="Times New Roman" w:cs="Times New Roman"/>
          <w:b/>
          <w:color w:val="595959" w:themeColor="text1" w:themeTint="A6"/>
        </w:rPr>
        <w:t>Office of Investments Overview</w:t>
      </w:r>
    </w:p>
    <w:p w14:paraId="79521BE6" w14:textId="76AA2004" w:rsidR="001D7C85" w:rsidRPr="00BC3B47" w:rsidRDefault="00053230" w:rsidP="007E4ED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17B1D">
        <w:rPr>
          <w:rFonts w:ascii="Times New Roman" w:hAnsi="Times New Roman" w:cs="Times New Roman"/>
          <w:color w:val="595959" w:themeColor="text1" w:themeTint="A6"/>
        </w:rPr>
        <w:t>Under supervision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of the Comptroller, the Office of Investments manage</w:t>
      </w:r>
      <w:r w:rsidR="00F940B8" w:rsidRPr="00517B1D">
        <w:rPr>
          <w:rFonts w:ascii="Times New Roman" w:hAnsi="Times New Roman" w:cs="Times New Roman"/>
          <w:color w:val="595959" w:themeColor="text1" w:themeTint="A6"/>
        </w:rPr>
        <w:t>s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the</w:t>
      </w:r>
      <w:r w:rsidR="00254DC5" w:rsidRPr="00517B1D">
        <w:rPr>
          <w:rFonts w:ascii="Times New Roman" w:hAnsi="Times New Roman" w:cs="Times New Roman"/>
          <w:color w:val="595959" w:themeColor="text1" w:themeTint="A6"/>
        </w:rPr>
        <w:t xml:space="preserve"> University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System’s </w:t>
      </w:r>
      <w:r w:rsidR="00DA1613">
        <w:rPr>
          <w:rFonts w:ascii="Times New Roman" w:hAnsi="Times New Roman" w:cs="Times New Roman"/>
          <w:color w:val="595959" w:themeColor="text1" w:themeTint="A6"/>
        </w:rPr>
        <w:t>operating and e</w:t>
      </w:r>
      <w:r w:rsidR="00F940B8" w:rsidRPr="00517B1D">
        <w:rPr>
          <w:rFonts w:ascii="Times New Roman" w:hAnsi="Times New Roman" w:cs="Times New Roman"/>
          <w:color w:val="595959" w:themeColor="text1" w:themeTint="A6"/>
        </w:rPr>
        <w:t xml:space="preserve">ndowment </w:t>
      </w:r>
      <w:r w:rsidRPr="00517B1D">
        <w:rPr>
          <w:rFonts w:ascii="Times New Roman" w:hAnsi="Times New Roman" w:cs="Times New Roman"/>
          <w:color w:val="595959" w:themeColor="text1" w:themeTint="A6"/>
        </w:rPr>
        <w:t>assets</w:t>
      </w:r>
      <w:r w:rsidR="003D3062">
        <w:rPr>
          <w:rFonts w:ascii="Times New Roman" w:hAnsi="Times New Roman" w:cs="Times New Roman"/>
          <w:color w:val="595959" w:themeColor="text1" w:themeTint="A6"/>
        </w:rPr>
        <w:t xml:space="preserve">, </w:t>
      </w:r>
      <w:r w:rsidR="00254DC5" w:rsidRPr="00517B1D">
        <w:rPr>
          <w:rFonts w:ascii="Times New Roman" w:hAnsi="Times New Roman" w:cs="Times New Roman"/>
          <w:color w:val="595959" w:themeColor="text1" w:themeTint="A6"/>
        </w:rPr>
        <w:t>including farmland donated to the University.</w:t>
      </w:r>
      <w:r w:rsidR="00DA1613">
        <w:rPr>
          <w:rFonts w:ascii="Times New Roman" w:hAnsi="Times New Roman" w:cs="Times New Roman"/>
          <w:color w:val="595959" w:themeColor="text1" w:themeTint="A6"/>
        </w:rPr>
        <w:t xml:space="preserve"> Operating and e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ndowment assets are invested through </w:t>
      </w:r>
      <w:r w:rsidRPr="00517B1D">
        <w:rPr>
          <w:rFonts w:ascii="Times New Roman" w:hAnsi="Times New Roman" w:cs="Times New Roman"/>
          <w:color w:val="595959" w:themeColor="text1" w:themeTint="A6"/>
        </w:rPr>
        <w:t xml:space="preserve">carefully selected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external investment firms, while farmland is </w:t>
      </w:r>
      <w:r w:rsidR="00754C47">
        <w:rPr>
          <w:rFonts w:ascii="Times New Roman" w:hAnsi="Times New Roman" w:cs="Times New Roman"/>
          <w:color w:val="595959" w:themeColor="text1" w:themeTint="A6"/>
        </w:rPr>
        <w:t xml:space="preserve">primarily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managed internally by </w:t>
      </w:r>
      <w:r w:rsidR="00F436FD" w:rsidRPr="00517B1D">
        <w:rPr>
          <w:rFonts w:ascii="Times New Roman" w:hAnsi="Times New Roman" w:cs="Times New Roman"/>
          <w:color w:val="595959" w:themeColor="text1" w:themeTint="A6"/>
        </w:rPr>
        <w:t>the</w:t>
      </w:r>
      <w:r w:rsidRPr="00517B1D">
        <w:rPr>
          <w:rFonts w:ascii="Times New Roman" w:hAnsi="Times New Roman" w:cs="Times New Roman"/>
          <w:color w:val="595959" w:themeColor="text1" w:themeTint="A6"/>
        </w:rPr>
        <w:t xml:space="preserve"> Agricultural Property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Services department. </w:t>
      </w:r>
      <w:r w:rsidR="00F436FD" w:rsidRPr="00517B1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0989E879" w14:textId="0BAB2251" w:rsidR="00296296" w:rsidRPr="00BC3B47" w:rsidRDefault="008F0513" w:rsidP="00BC3B47">
      <w:pPr>
        <w:rPr>
          <w:rFonts w:ascii="Times New Roman" w:hAnsi="Times New Roman" w:cs="Times New Roman"/>
          <w:color w:val="595959" w:themeColor="text1" w:themeTint="A6"/>
        </w:rPr>
      </w:pPr>
      <w:r w:rsidRPr="00517B1D">
        <w:rPr>
          <w:rFonts w:ascii="Times New Roman" w:hAnsi="Times New Roman" w:cs="Times New Roman"/>
          <w:color w:val="595959" w:themeColor="text1" w:themeTint="A6"/>
        </w:rPr>
        <w:t xml:space="preserve">The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University </w:t>
      </w:r>
      <w:r w:rsidR="00A907B9">
        <w:rPr>
          <w:rFonts w:ascii="Times New Roman" w:hAnsi="Times New Roman" w:cs="Times New Roman"/>
          <w:color w:val="595959" w:themeColor="text1" w:themeTint="A6"/>
        </w:rPr>
        <w:t>of Illinois BOT</w:t>
      </w:r>
      <w:r w:rsidRPr="00517B1D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establishes policies for managing </w:t>
      </w:r>
      <w:r w:rsidR="00053230" w:rsidRPr="00517B1D">
        <w:rPr>
          <w:rFonts w:ascii="Times New Roman" w:hAnsi="Times New Roman" w:cs="Times New Roman"/>
          <w:color w:val="595959" w:themeColor="text1" w:themeTint="A6"/>
        </w:rPr>
        <w:t xml:space="preserve">University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>asset pools. The Investment Policy sets forth a</w:t>
      </w:r>
      <w:r w:rsidR="00DA1613">
        <w:rPr>
          <w:rFonts w:ascii="Times New Roman" w:hAnsi="Times New Roman" w:cs="Times New Roman"/>
          <w:color w:val="595959" w:themeColor="text1" w:themeTint="A6"/>
        </w:rPr>
        <w:t>sset allocation ranges for the endowment and operating p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ools.  </w:t>
      </w:r>
      <w:r w:rsidRPr="00517B1D">
        <w:rPr>
          <w:rFonts w:ascii="Times New Roman" w:hAnsi="Times New Roman" w:cs="Times New Roman"/>
          <w:color w:val="595959" w:themeColor="text1" w:themeTint="A6"/>
        </w:rPr>
        <w:t>The Audit, Budget</w:t>
      </w:r>
      <w:r w:rsidR="000A48BC" w:rsidRPr="00517B1D">
        <w:rPr>
          <w:rFonts w:ascii="Times New Roman" w:hAnsi="Times New Roman" w:cs="Times New Roman"/>
          <w:color w:val="595959" w:themeColor="text1" w:themeTint="A6"/>
        </w:rPr>
        <w:t>,</w:t>
      </w:r>
      <w:r w:rsidRPr="00517B1D">
        <w:rPr>
          <w:rFonts w:ascii="Times New Roman" w:hAnsi="Times New Roman" w:cs="Times New Roman"/>
          <w:color w:val="595959" w:themeColor="text1" w:themeTint="A6"/>
        </w:rPr>
        <w:t xml:space="preserve"> Finance, and </w:t>
      </w:r>
      <w:r w:rsidR="00D25174" w:rsidRPr="00517B1D">
        <w:rPr>
          <w:rFonts w:ascii="Times New Roman" w:hAnsi="Times New Roman" w:cs="Times New Roman"/>
          <w:color w:val="595959" w:themeColor="text1" w:themeTint="A6"/>
        </w:rPr>
        <w:t xml:space="preserve">Facilities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>(</w:t>
      </w:r>
      <w:proofErr w:type="spellStart"/>
      <w:r w:rsidR="001D7C85" w:rsidRPr="00517B1D">
        <w:rPr>
          <w:rFonts w:ascii="Times New Roman" w:hAnsi="Times New Roman" w:cs="Times New Roman"/>
          <w:color w:val="595959" w:themeColor="text1" w:themeTint="A6"/>
        </w:rPr>
        <w:t>ABFF</w:t>
      </w:r>
      <w:proofErr w:type="spellEnd"/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) </w:t>
      </w:r>
      <w:r w:rsidR="006521C8" w:rsidRPr="00517B1D">
        <w:rPr>
          <w:rFonts w:ascii="Times New Roman" w:hAnsi="Times New Roman" w:cs="Times New Roman"/>
          <w:color w:val="595959" w:themeColor="text1" w:themeTint="A6"/>
        </w:rPr>
        <w:t>Committee of the BOT</w:t>
      </w:r>
      <w:r w:rsidR="00D25174" w:rsidRPr="00517B1D">
        <w:rPr>
          <w:rFonts w:ascii="Times New Roman" w:hAnsi="Times New Roman" w:cs="Times New Roman"/>
          <w:color w:val="595959" w:themeColor="text1" w:themeTint="A6"/>
        </w:rPr>
        <w:t xml:space="preserve"> reviews asset allocation and performance and </w:t>
      </w:r>
      <w:r w:rsidR="002F3944" w:rsidRPr="00517B1D">
        <w:rPr>
          <w:rFonts w:ascii="Times New Roman" w:hAnsi="Times New Roman" w:cs="Times New Roman"/>
          <w:color w:val="595959" w:themeColor="text1" w:themeTint="A6"/>
        </w:rPr>
        <w:t>makes</w:t>
      </w:r>
      <w:r w:rsidR="006521C8" w:rsidRPr="00517B1D">
        <w:rPr>
          <w:rFonts w:ascii="Times New Roman" w:hAnsi="Times New Roman" w:cs="Times New Roman"/>
          <w:color w:val="595959" w:themeColor="text1" w:themeTint="A6"/>
        </w:rPr>
        <w:t xml:space="preserve"> recommendations to the BOT</w:t>
      </w:r>
      <w:r w:rsidR="00D25174" w:rsidRPr="00517B1D">
        <w:rPr>
          <w:rFonts w:ascii="Times New Roman" w:hAnsi="Times New Roman" w:cs="Times New Roman"/>
          <w:color w:val="595959" w:themeColor="text1" w:themeTint="A6"/>
        </w:rPr>
        <w:t xml:space="preserve"> regarding investment policy. The BOT has delegated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>to th</w:t>
      </w:r>
      <w:r w:rsidR="002F3944" w:rsidRPr="00517B1D">
        <w:rPr>
          <w:rFonts w:ascii="Times New Roman" w:hAnsi="Times New Roman" w:cs="Times New Roman"/>
          <w:color w:val="595959" w:themeColor="text1" w:themeTint="A6"/>
        </w:rPr>
        <w:t xml:space="preserve">e Comptroller </w:t>
      </w:r>
      <w:r w:rsidR="00053230" w:rsidRPr="00517B1D">
        <w:rPr>
          <w:rFonts w:ascii="Times New Roman" w:hAnsi="Times New Roman" w:cs="Times New Roman"/>
          <w:color w:val="595959" w:themeColor="text1" w:themeTint="A6"/>
        </w:rPr>
        <w:t>management of the University’s assets within the BOT approved policies. The Com</w:t>
      </w:r>
      <w:r w:rsidR="00276187">
        <w:rPr>
          <w:rFonts w:ascii="Times New Roman" w:hAnsi="Times New Roman" w:cs="Times New Roman"/>
          <w:color w:val="595959" w:themeColor="text1" w:themeTint="A6"/>
        </w:rPr>
        <w:t xml:space="preserve">ptroller has charged the </w:t>
      </w:r>
      <w:r w:rsidR="00053230" w:rsidRPr="00517B1D">
        <w:rPr>
          <w:rFonts w:ascii="Times New Roman" w:hAnsi="Times New Roman" w:cs="Times New Roman"/>
          <w:color w:val="595959" w:themeColor="text1" w:themeTint="A6"/>
        </w:rPr>
        <w:t xml:space="preserve">Investment Office within Treasury Operations with the </w:t>
      </w:r>
      <w:r w:rsidR="002F3944" w:rsidRPr="00517B1D">
        <w:rPr>
          <w:rFonts w:ascii="Times New Roman" w:hAnsi="Times New Roman" w:cs="Times New Roman"/>
          <w:color w:val="595959" w:themeColor="text1" w:themeTint="A6"/>
        </w:rPr>
        <w:t>day-to-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day </w:t>
      </w:r>
      <w:r w:rsidR="00DA1613">
        <w:rPr>
          <w:rFonts w:ascii="Times New Roman" w:hAnsi="Times New Roman" w:cs="Times New Roman"/>
          <w:color w:val="595959" w:themeColor="text1" w:themeTint="A6"/>
        </w:rPr>
        <w:t>management of the investment p</w:t>
      </w:r>
      <w:r w:rsidR="00053230" w:rsidRPr="00517B1D">
        <w:rPr>
          <w:rFonts w:ascii="Times New Roman" w:hAnsi="Times New Roman" w:cs="Times New Roman"/>
          <w:color w:val="595959" w:themeColor="text1" w:themeTint="A6"/>
        </w:rPr>
        <w:t>rogram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 xml:space="preserve">.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It is important to note that the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 xml:space="preserve"> assets </w:t>
      </w:r>
      <w:r w:rsidR="00F940B8" w:rsidRPr="00517B1D">
        <w:rPr>
          <w:rFonts w:ascii="Times New Roman" w:hAnsi="Times New Roman" w:cs="Times New Roman"/>
          <w:color w:val="595959" w:themeColor="text1" w:themeTint="A6"/>
        </w:rPr>
        <w:t xml:space="preserve">managed by the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Office of Investments 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>are distinct</w:t>
      </w:r>
      <w:r w:rsidR="00296296" w:rsidRPr="00517B1D" w:rsidDel="00025E49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>from those managed by the University of Illinois Foundation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(UIF)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>.</w:t>
      </w:r>
      <w:r w:rsidR="0045240F">
        <w:rPr>
          <w:rFonts w:ascii="Times New Roman" w:hAnsi="Times New Roman" w:cs="Times New Roman"/>
          <w:color w:val="595959" w:themeColor="text1" w:themeTint="A6"/>
        </w:rPr>
        <w:t xml:space="preserve"> UIF is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a university related organization with an independent board</w:t>
      </w:r>
      <w:r w:rsidR="0045240F">
        <w:rPr>
          <w:rFonts w:ascii="Times New Roman" w:hAnsi="Times New Roman" w:cs="Times New Roman"/>
          <w:color w:val="595959" w:themeColor="text1" w:themeTint="A6"/>
        </w:rPr>
        <w:t>.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CE2B33">
        <w:rPr>
          <w:rFonts w:ascii="Times New Roman" w:hAnsi="Times New Roman" w:cs="Times New Roman"/>
          <w:b/>
          <w:sz w:val="24"/>
          <w:szCs w:val="24"/>
        </w:rPr>
        <w:br w:type="page"/>
      </w:r>
      <w:r w:rsidR="00925665">
        <w:rPr>
          <w:rFonts w:ascii="Times New Roman" w:hAnsi="Times New Roman" w:cs="Times New Roman"/>
          <w:b/>
          <w:sz w:val="32"/>
          <w:szCs w:val="32"/>
        </w:rPr>
        <w:lastRenderedPageBreak/>
        <w:t>Invested Asset Overview</w:t>
      </w:r>
    </w:p>
    <w:p w14:paraId="513EB056" w14:textId="47FE5AF2" w:rsidR="00925665" w:rsidRPr="00925665" w:rsidRDefault="00925665" w:rsidP="00925665">
      <w:pPr>
        <w:keepNext/>
        <w:framePr w:dropCap="drop" w:lines="2" w:wrap="around" w:vAnchor="text" w:hAnchor="text"/>
        <w:spacing w:after="0" w:line="595" w:lineRule="exact"/>
        <w:textAlignment w:val="baseline"/>
        <w:rPr>
          <w:rFonts w:ascii="Times New Roman" w:hAnsi="Times New Roman" w:cs="Times New Roman"/>
          <w:position w:val="-5"/>
          <w:sz w:val="73"/>
          <w:szCs w:val="24"/>
        </w:rPr>
      </w:pPr>
      <w:r w:rsidRPr="00925665">
        <w:rPr>
          <w:rFonts w:ascii="Times New Roman" w:hAnsi="Times New Roman" w:cs="Times New Roman"/>
          <w:position w:val="-5"/>
          <w:sz w:val="73"/>
          <w:szCs w:val="24"/>
        </w:rPr>
        <w:t>T</w:t>
      </w:r>
    </w:p>
    <w:p w14:paraId="0AA80FE0" w14:textId="79EAC8D6" w:rsidR="003D18BC" w:rsidRPr="00917772" w:rsidRDefault="003D18BC">
      <w:pPr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he Investment Office manages two distinct </w:t>
      </w:r>
      <w:r w:rsidR="00834E84" w:rsidRPr="00917772">
        <w:rPr>
          <w:rFonts w:ascii="Times New Roman" w:hAnsi="Times New Roman" w:cs="Times New Roman"/>
          <w:sz w:val="24"/>
          <w:szCs w:val="24"/>
        </w:rPr>
        <w:t>categories</w:t>
      </w:r>
      <w:r w:rsidR="004C414F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DA1613">
        <w:rPr>
          <w:rFonts w:ascii="Times New Roman" w:hAnsi="Times New Roman" w:cs="Times New Roman"/>
          <w:sz w:val="24"/>
          <w:szCs w:val="24"/>
        </w:rPr>
        <w:t>of funds, the endowment f</w:t>
      </w:r>
      <w:r w:rsidR="00C23A83" w:rsidRPr="00917772">
        <w:rPr>
          <w:rFonts w:ascii="Times New Roman" w:hAnsi="Times New Roman" w:cs="Times New Roman"/>
          <w:sz w:val="24"/>
          <w:szCs w:val="24"/>
        </w:rPr>
        <w:t>und</w:t>
      </w:r>
      <w:r w:rsidR="00DA1613">
        <w:rPr>
          <w:rFonts w:ascii="Times New Roman" w:hAnsi="Times New Roman" w:cs="Times New Roman"/>
          <w:sz w:val="24"/>
          <w:szCs w:val="24"/>
        </w:rPr>
        <w:t>s and the operating p</w:t>
      </w:r>
      <w:r w:rsidRPr="00917772">
        <w:rPr>
          <w:rFonts w:ascii="Times New Roman" w:hAnsi="Times New Roman" w:cs="Times New Roman"/>
          <w:sz w:val="24"/>
          <w:szCs w:val="24"/>
        </w:rPr>
        <w:t xml:space="preserve">ool. </w:t>
      </w:r>
      <w:r w:rsidR="002338DB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FF64D0">
        <w:rPr>
          <w:rFonts w:ascii="Times New Roman" w:hAnsi="Times New Roman" w:cs="Times New Roman"/>
          <w:sz w:val="24"/>
          <w:szCs w:val="24"/>
        </w:rPr>
        <w:t>The permanent core</w:t>
      </w:r>
      <w:r w:rsidR="00FF6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4D0">
        <w:rPr>
          <w:rFonts w:ascii="Times New Roman" w:hAnsi="Times New Roman" w:cs="Times New Roman"/>
          <w:sz w:val="24"/>
          <w:szCs w:val="24"/>
        </w:rPr>
        <w:t>is an investment of operating pool funds in the e</w:t>
      </w:r>
      <w:r w:rsidR="00FF64D0" w:rsidRPr="00917772">
        <w:rPr>
          <w:rFonts w:ascii="Times New Roman" w:hAnsi="Times New Roman" w:cs="Times New Roman"/>
          <w:sz w:val="24"/>
          <w:szCs w:val="24"/>
        </w:rPr>
        <w:t>nd</w:t>
      </w:r>
      <w:r w:rsidR="00FF64D0">
        <w:rPr>
          <w:rFonts w:ascii="Times New Roman" w:hAnsi="Times New Roman" w:cs="Times New Roman"/>
          <w:sz w:val="24"/>
          <w:szCs w:val="24"/>
        </w:rPr>
        <w:t xml:space="preserve">owment pool. </w:t>
      </w:r>
      <w:r w:rsidR="002338DB" w:rsidRPr="00917772">
        <w:rPr>
          <w:rFonts w:ascii="Times New Roman" w:hAnsi="Times New Roman" w:cs="Times New Roman"/>
          <w:sz w:val="24"/>
          <w:szCs w:val="24"/>
        </w:rPr>
        <w:t xml:space="preserve">The distribution of the </w:t>
      </w:r>
      <w:r w:rsidR="0025621B" w:rsidRPr="00917772">
        <w:rPr>
          <w:rFonts w:ascii="Times New Roman" w:hAnsi="Times New Roman" w:cs="Times New Roman"/>
          <w:sz w:val="24"/>
          <w:szCs w:val="24"/>
        </w:rPr>
        <w:t>collective</w:t>
      </w:r>
      <w:r w:rsidR="00F436FD" w:rsidRPr="00917772">
        <w:rPr>
          <w:rFonts w:ascii="Times New Roman" w:hAnsi="Times New Roman" w:cs="Times New Roman"/>
          <w:sz w:val="24"/>
          <w:szCs w:val="24"/>
        </w:rPr>
        <w:t xml:space="preserve"> pools</w:t>
      </w:r>
      <w:r w:rsidR="002338DB" w:rsidRPr="00917772">
        <w:rPr>
          <w:rFonts w:ascii="Times New Roman" w:hAnsi="Times New Roman" w:cs="Times New Roman"/>
          <w:sz w:val="24"/>
          <w:szCs w:val="24"/>
        </w:rPr>
        <w:t xml:space="preserve"> is displayed in Figure 1. </w:t>
      </w:r>
    </w:p>
    <w:p w14:paraId="4A163860" w14:textId="3D26FC5F" w:rsidR="0023756E" w:rsidRDefault="00D775A8" w:rsidP="00D87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90" w:rsidRPr="003C5AD3">
        <w:rPr>
          <w:rFonts w:ascii="Times New Roman" w:hAnsi="Times New Roman" w:cs="Times New Roman"/>
          <w:b/>
          <w:sz w:val="24"/>
          <w:szCs w:val="24"/>
        </w:rPr>
        <w:t>Figure 1</w:t>
      </w:r>
      <w:r w:rsidR="002A7CF6" w:rsidRPr="00003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94685C" w14:textId="2EDDB544" w:rsidR="00C97E2C" w:rsidRDefault="00FF64D0" w:rsidP="005B6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0EEABE" wp14:editId="3EFA830F">
            <wp:extent cx="5610225" cy="36480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FF64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CD212" w14:textId="436A9CCC" w:rsidR="002867BA" w:rsidRPr="00917772" w:rsidRDefault="00762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sections that follow </w:t>
      </w:r>
      <w:r w:rsidR="00574D9C" w:rsidRPr="00917772">
        <w:rPr>
          <w:rFonts w:ascii="Times New Roman" w:hAnsi="Times New Roman" w:cs="Times New Roman"/>
          <w:sz w:val="24"/>
          <w:szCs w:val="24"/>
        </w:rPr>
        <w:t xml:space="preserve">elaborate on </w:t>
      </w:r>
      <w:r w:rsidR="00DA1613">
        <w:rPr>
          <w:rFonts w:ascii="Times New Roman" w:hAnsi="Times New Roman" w:cs="Times New Roman"/>
          <w:sz w:val="24"/>
          <w:szCs w:val="24"/>
        </w:rPr>
        <w:t>the investment program for the endowment and o</w:t>
      </w:r>
      <w:r w:rsidR="00574D9C" w:rsidRPr="00917772">
        <w:rPr>
          <w:rFonts w:ascii="Times New Roman" w:hAnsi="Times New Roman" w:cs="Times New Roman"/>
          <w:sz w:val="24"/>
          <w:szCs w:val="24"/>
        </w:rPr>
        <w:t>perating assets of the University of Illinois System.</w:t>
      </w:r>
    </w:p>
    <w:p w14:paraId="691BB49C" w14:textId="77777777" w:rsidR="00925665" w:rsidRDefault="0092566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56DA604" w14:textId="76D927BC" w:rsidR="002867BA" w:rsidRPr="00925665" w:rsidRDefault="002867BA" w:rsidP="009256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665">
        <w:rPr>
          <w:rFonts w:ascii="Times New Roman" w:hAnsi="Times New Roman" w:cs="Times New Roman"/>
          <w:b/>
          <w:sz w:val="32"/>
          <w:szCs w:val="32"/>
        </w:rPr>
        <w:lastRenderedPageBreak/>
        <w:t>Endowment Fund</w:t>
      </w:r>
      <w:r w:rsidR="003554A7">
        <w:rPr>
          <w:rFonts w:ascii="Times New Roman" w:hAnsi="Times New Roman" w:cs="Times New Roman"/>
          <w:b/>
          <w:sz w:val="32"/>
          <w:szCs w:val="32"/>
        </w:rPr>
        <w:t>s</w:t>
      </w:r>
    </w:p>
    <w:p w14:paraId="333FDA9A" w14:textId="414E3D38" w:rsidR="00925665" w:rsidRPr="00925665" w:rsidRDefault="00925665" w:rsidP="00925665">
      <w:pPr>
        <w:keepNext/>
        <w:framePr w:dropCap="drop" w:lines="2" w:wrap="around" w:vAnchor="text" w:hAnchor="text"/>
        <w:spacing w:after="0" w:line="595" w:lineRule="exact"/>
        <w:textAlignment w:val="baseline"/>
        <w:rPr>
          <w:rFonts w:ascii="Times New Roman" w:hAnsi="Times New Roman" w:cs="Times New Roman"/>
          <w:position w:val="-5"/>
          <w:sz w:val="73"/>
          <w:szCs w:val="24"/>
        </w:rPr>
      </w:pPr>
      <w:r w:rsidRPr="00925665">
        <w:rPr>
          <w:rFonts w:ascii="Times New Roman" w:hAnsi="Times New Roman" w:cs="Times New Roman"/>
          <w:position w:val="-5"/>
          <w:sz w:val="73"/>
          <w:szCs w:val="24"/>
        </w:rPr>
        <w:t>T</w:t>
      </w:r>
    </w:p>
    <w:p w14:paraId="2C6AF30B" w14:textId="6FEED88F" w:rsidR="00861B0F" w:rsidRPr="00925665" w:rsidRDefault="00563D3D" w:rsidP="00925665">
      <w:pPr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he </w:t>
      </w:r>
      <w:r w:rsidRPr="00917772">
        <w:rPr>
          <w:rFonts w:ascii="Times New Roman" w:hAnsi="Times New Roman" w:cs="Times New Roman"/>
          <w:i/>
          <w:sz w:val="24"/>
          <w:szCs w:val="24"/>
        </w:rPr>
        <w:t xml:space="preserve">Endowment </w:t>
      </w:r>
      <w:r w:rsidR="000F2A36" w:rsidRPr="00917772">
        <w:rPr>
          <w:rFonts w:ascii="Times New Roman" w:hAnsi="Times New Roman" w:cs="Times New Roman"/>
          <w:i/>
          <w:sz w:val="24"/>
          <w:szCs w:val="24"/>
        </w:rPr>
        <w:t>Fund</w:t>
      </w:r>
      <w:r w:rsidR="00DA1613">
        <w:rPr>
          <w:rFonts w:ascii="Times New Roman" w:hAnsi="Times New Roman" w:cs="Times New Roman"/>
          <w:i/>
          <w:sz w:val="24"/>
          <w:szCs w:val="24"/>
        </w:rPr>
        <w:t>s</w:t>
      </w:r>
      <w:r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4AA" w:rsidRPr="00917772">
        <w:rPr>
          <w:rFonts w:ascii="Times New Roman" w:hAnsi="Times New Roman" w:cs="Times New Roman"/>
          <w:sz w:val="24"/>
          <w:szCs w:val="24"/>
        </w:rPr>
        <w:t xml:space="preserve">(market </w:t>
      </w:r>
      <w:r w:rsidR="003114AA" w:rsidRPr="00044B67">
        <w:rPr>
          <w:rFonts w:ascii="Times New Roman" w:hAnsi="Times New Roman" w:cs="Times New Roman"/>
          <w:sz w:val="24"/>
          <w:szCs w:val="24"/>
        </w:rPr>
        <w:t>value</w:t>
      </w:r>
      <w:r w:rsidR="00DD3F6E" w:rsidRPr="00044B67">
        <w:rPr>
          <w:rFonts w:ascii="Times New Roman" w:hAnsi="Times New Roman" w:cs="Times New Roman"/>
          <w:sz w:val="24"/>
          <w:szCs w:val="24"/>
        </w:rPr>
        <w:t xml:space="preserve"> </w:t>
      </w:r>
      <w:r w:rsidR="003114AA" w:rsidRPr="00044B67">
        <w:rPr>
          <w:rFonts w:ascii="Times New Roman" w:hAnsi="Times New Roman" w:cs="Times New Roman"/>
          <w:sz w:val="24"/>
          <w:szCs w:val="24"/>
        </w:rPr>
        <w:t>$</w:t>
      </w:r>
      <w:r w:rsidR="00044B67" w:rsidRPr="00044B67">
        <w:rPr>
          <w:rFonts w:ascii="Times New Roman" w:hAnsi="Times New Roman" w:cs="Times New Roman"/>
          <w:sz w:val="24"/>
          <w:szCs w:val="24"/>
        </w:rPr>
        <w:t>1.07</w:t>
      </w:r>
      <w:r w:rsidR="00195648" w:rsidRPr="00044B67">
        <w:rPr>
          <w:rFonts w:ascii="Times New Roman" w:hAnsi="Times New Roman" w:cs="Times New Roman"/>
          <w:sz w:val="24"/>
          <w:szCs w:val="24"/>
        </w:rPr>
        <w:t xml:space="preserve"> </w:t>
      </w:r>
      <w:r w:rsidR="00044B67" w:rsidRPr="00044B67">
        <w:rPr>
          <w:rFonts w:ascii="Times New Roman" w:hAnsi="Times New Roman" w:cs="Times New Roman"/>
          <w:sz w:val="24"/>
          <w:szCs w:val="24"/>
        </w:rPr>
        <w:t>b</w:t>
      </w:r>
      <w:r w:rsidR="00195648" w:rsidRPr="00044B67">
        <w:rPr>
          <w:rFonts w:ascii="Times New Roman" w:hAnsi="Times New Roman" w:cs="Times New Roman"/>
          <w:sz w:val="24"/>
          <w:szCs w:val="24"/>
        </w:rPr>
        <w:t>illion</w:t>
      </w:r>
      <w:r w:rsidR="003114AA" w:rsidRPr="002C48FC">
        <w:rPr>
          <w:rFonts w:ascii="Times New Roman" w:hAnsi="Times New Roman" w:cs="Times New Roman"/>
          <w:sz w:val="24"/>
          <w:szCs w:val="24"/>
        </w:rPr>
        <w:t>)</w:t>
      </w:r>
      <w:r w:rsidR="003114AA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BE6010">
        <w:rPr>
          <w:rFonts w:ascii="Times New Roman" w:hAnsi="Times New Roman" w:cs="Times New Roman"/>
          <w:sz w:val="24"/>
          <w:szCs w:val="24"/>
        </w:rPr>
        <w:t>consist</w:t>
      </w:r>
      <w:r w:rsidR="001F3283" w:rsidRPr="00917772">
        <w:rPr>
          <w:rFonts w:ascii="Times New Roman" w:hAnsi="Times New Roman" w:cs="Times New Roman"/>
          <w:sz w:val="24"/>
          <w:szCs w:val="24"/>
        </w:rPr>
        <w:t xml:space="preserve"> of two distinct sources of funding</w:t>
      </w:r>
      <w:r w:rsidR="00B16B0D" w:rsidRPr="00917772">
        <w:rPr>
          <w:rFonts w:ascii="Times New Roman" w:hAnsi="Times New Roman" w:cs="Times New Roman"/>
          <w:sz w:val="24"/>
          <w:szCs w:val="24"/>
        </w:rPr>
        <w:t>. The first source</w:t>
      </w:r>
      <w:r w:rsidR="00C23A83" w:rsidRPr="00917772">
        <w:rPr>
          <w:rFonts w:ascii="Times New Roman" w:hAnsi="Times New Roman" w:cs="Times New Roman"/>
          <w:sz w:val="24"/>
          <w:szCs w:val="24"/>
        </w:rPr>
        <w:t xml:space="preserve"> is comprised of gifts donated to the </w:t>
      </w:r>
      <w:r w:rsidR="004C414F" w:rsidRPr="00917772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C23A83" w:rsidRPr="00917772">
        <w:rPr>
          <w:rFonts w:ascii="Times New Roman" w:hAnsi="Times New Roman" w:cs="Times New Roman"/>
          <w:sz w:val="24"/>
          <w:szCs w:val="24"/>
        </w:rPr>
        <w:t>System to support its mission</w:t>
      </w:r>
      <w:r w:rsidR="0072605E">
        <w:rPr>
          <w:rFonts w:ascii="Times New Roman" w:hAnsi="Times New Roman" w:cs="Times New Roman"/>
          <w:sz w:val="24"/>
          <w:szCs w:val="24"/>
        </w:rPr>
        <w:t xml:space="preserve"> (</w:t>
      </w:r>
      <w:r w:rsidR="000D4FA3">
        <w:rPr>
          <w:rFonts w:ascii="Times New Roman" w:hAnsi="Times New Roman" w:cs="Times New Roman"/>
          <w:sz w:val="24"/>
          <w:szCs w:val="24"/>
        </w:rPr>
        <w:t>light blue</w:t>
      </w:r>
      <w:r w:rsidR="0072605E">
        <w:rPr>
          <w:rFonts w:ascii="Times New Roman" w:hAnsi="Times New Roman" w:cs="Times New Roman"/>
          <w:sz w:val="24"/>
          <w:szCs w:val="24"/>
        </w:rPr>
        <w:t xml:space="preserve">, </w:t>
      </w:r>
      <w:r w:rsidR="000D4FA3">
        <w:rPr>
          <w:rFonts w:ascii="Times New Roman" w:hAnsi="Times New Roman" w:cs="Times New Roman"/>
          <w:sz w:val="24"/>
          <w:szCs w:val="24"/>
        </w:rPr>
        <w:t>gray and gold</w:t>
      </w:r>
      <w:r w:rsidR="00AD5175" w:rsidRPr="00917772">
        <w:rPr>
          <w:rFonts w:ascii="Times New Roman" w:hAnsi="Times New Roman" w:cs="Times New Roman"/>
          <w:sz w:val="24"/>
          <w:szCs w:val="24"/>
        </w:rPr>
        <w:t xml:space="preserve"> segments in </w:t>
      </w:r>
      <w:r w:rsidR="0013035C" w:rsidRPr="00917772">
        <w:rPr>
          <w:rFonts w:ascii="Times New Roman" w:hAnsi="Times New Roman" w:cs="Times New Roman"/>
          <w:sz w:val="24"/>
          <w:szCs w:val="24"/>
        </w:rPr>
        <w:t xml:space="preserve">Figure </w:t>
      </w:r>
      <w:r w:rsidR="00AB42D0" w:rsidRPr="00917772">
        <w:rPr>
          <w:rFonts w:ascii="Times New Roman" w:hAnsi="Times New Roman" w:cs="Times New Roman"/>
          <w:sz w:val="24"/>
          <w:szCs w:val="24"/>
        </w:rPr>
        <w:t>2</w:t>
      </w:r>
      <w:r w:rsidR="00AD5175" w:rsidRPr="00917772">
        <w:rPr>
          <w:rFonts w:ascii="Times New Roman" w:hAnsi="Times New Roman" w:cs="Times New Roman"/>
          <w:sz w:val="24"/>
          <w:szCs w:val="24"/>
        </w:rPr>
        <w:t>)</w:t>
      </w:r>
      <w:r w:rsidR="00C23A83" w:rsidRPr="00917772">
        <w:rPr>
          <w:rFonts w:ascii="Times New Roman" w:hAnsi="Times New Roman" w:cs="Times New Roman"/>
          <w:sz w:val="24"/>
          <w:szCs w:val="24"/>
        </w:rPr>
        <w:t xml:space="preserve">. </w:t>
      </w:r>
      <w:r w:rsidR="00D77366" w:rsidRPr="00917772">
        <w:rPr>
          <w:rFonts w:ascii="Times New Roman" w:hAnsi="Times New Roman" w:cs="Times New Roman"/>
          <w:sz w:val="24"/>
          <w:szCs w:val="24"/>
        </w:rPr>
        <w:t xml:space="preserve">Some gifts are restricted to a specific purpose while others may be for unrestricted use. The distribution of </w:t>
      </w:r>
      <w:r w:rsidR="00DA1613">
        <w:rPr>
          <w:rFonts w:ascii="Times New Roman" w:hAnsi="Times New Roman" w:cs="Times New Roman"/>
          <w:sz w:val="24"/>
          <w:szCs w:val="24"/>
        </w:rPr>
        <w:t>endowment p</w:t>
      </w:r>
      <w:r w:rsidR="003D3062">
        <w:rPr>
          <w:rFonts w:ascii="Times New Roman" w:hAnsi="Times New Roman" w:cs="Times New Roman"/>
          <w:sz w:val="24"/>
          <w:szCs w:val="24"/>
        </w:rPr>
        <w:t xml:space="preserve">ool </w:t>
      </w:r>
      <w:r w:rsidR="000D4FA3">
        <w:rPr>
          <w:rFonts w:ascii="Times New Roman" w:hAnsi="Times New Roman" w:cs="Times New Roman"/>
          <w:sz w:val="24"/>
          <w:szCs w:val="24"/>
        </w:rPr>
        <w:t>gifts by purpose</w:t>
      </w:r>
      <w:r w:rsidR="00754C47">
        <w:rPr>
          <w:rFonts w:ascii="Times New Roman" w:hAnsi="Times New Roman" w:cs="Times New Roman"/>
          <w:sz w:val="24"/>
          <w:szCs w:val="24"/>
        </w:rPr>
        <w:t xml:space="preserve"> </w:t>
      </w:r>
      <w:r w:rsidR="00D77366" w:rsidRPr="00917772">
        <w:rPr>
          <w:rFonts w:ascii="Times New Roman" w:hAnsi="Times New Roman" w:cs="Times New Roman"/>
          <w:sz w:val="24"/>
          <w:szCs w:val="24"/>
        </w:rPr>
        <w:t>is presented in Figure 3.</w:t>
      </w:r>
      <w:r w:rsidR="00D77366" w:rsidRPr="00D77366">
        <w:rPr>
          <w:rFonts w:ascii="Times New Roman" w:hAnsi="Times New Roman" w:cs="Times New Roman"/>
          <w:sz w:val="24"/>
          <w:szCs w:val="24"/>
        </w:rPr>
        <w:t xml:space="preserve"> </w:t>
      </w:r>
      <w:r w:rsidR="008E2796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DA1613">
        <w:rPr>
          <w:rFonts w:ascii="Times New Roman" w:hAnsi="Times New Roman" w:cs="Times New Roman"/>
          <w:sz w:val="24"/>
          <w:szCs w:val="24"/>
        </w:rPr>
        <w:t xml:space="preserve">source of funding consists of </w:t>
      </w:r>
      <w:r w:rsidR="00DA1613" w:rsidRPr="000B24B6">
        <w:rPr>
          <w:rFonts w:ascii="Times New Roman" w:hAnsi="Times New Roman" w:cs="Times New Roman"/>
          <w:sz w:val="24"/>
          <w:szCs w:val="24"/>
        </w:rPr>
        <w:t>operating p</w:t>
      </w:r>
      <w:r w:rsidR="008E2796" w:rsidRPr="000B24B6">
        <w:rPr>
          <w:rFonts w:ascii="Times New Roman" w:hAnsi="Times New Roman" w:cs="Times New Roman"/>
          <w:sz w:val="24"/>
          <w:szCs w:val="24"/>
        </w:rPr>
        <w:t>ool funds that are</w:t>
      </w:r>
      <w:r w:rsidR="00DA1613" w:rsidRPr="000B24B6">
        <w:rPr>
          <w:rFonts w:ascii="Times New Roman" w:hAnsi="Times New Roman" w:cs="Times New Roman"/>
          <w:sz w:val="24"/>
          <w:szCs w:val="24"/>
        </w:rPr>
        <w:t xml:space="preserve"> managed as part of the e</w:t>
      </w:r>
      <w:r w:rsidR="00D77366" w:rsidRPr="000B24B6">
        <w:rPr>
          <w:rFonts w:ascii="Times New Roman" w:hAnsi="Times New Roman" w:cs="Times New Roman"/>
          <w:sz w:val="24"/>
          <w:szCs w:val="24"/>
        </w:rPr>
        <w:t>nd</w:t>
      </w:r>
      <w:r w:rsidR="00DA1613" w:rsidRPr="000B24B6">
        <w:rPr>
          <w:rFonts w:ascii="Times New Roman" w:hAnsi="Times New Roman" w:cs="Times New Roman"/>
          <w:sz w:val="24"/>
          <w:szCs w:val="24"/>
        </w:rPr>
        <w:t>owment p</w:t>
      </w:r>
      <w:r w:rsidR="00BF5824" w:rsidRPr="000B24B6">
        <w:rPr>
          <w:rFonts w:ascii="Times New Roman" w:hAnsi="Times New Roman" w:cs="Times New Roman"/>
          <w:sz w:val="24"/>
          <w:szCs w:val="24"/>
        </w:rPr>
        <w:t>ool</w:t>
      </w:r>
      <w:r w:rsidR="000D4FA3" w:rsidRPr="000B24B6">
        <w:rPr>
          <w:rFonts w:ascii="Times New Roman" w:hAnsi="Times New Roman" w:cs="Times New Roman"/>
          <w:sz w:val="24"/>
          <w:szCs w:val="24"/>
        </w:rPr>
        <w:t xml:space="preserve">—the </w:t>
      </w:r>
      <w:r w:rsidR="000D4FA3" w:rsidRPr="000B24B6">
        <w:rPr>
          <w:rFonts w:ascii="Times New Roman" w:hAnsi="Times New Roman" w:cs="Times New Roman"/>
          <w:i/>
          <w:sz w:val="24"/>
          <w:szCs w:val="24"/>
        </w:rPr>
        <w:t>Permanent Core</w:t>
      </w:r>
      <w:r w:rsidR="00BF5824" w:rsidRPr="000B24B6">
        <w:rPr>
          <w:rFonts w:ascii="Times New Roman" w:hAnsi="Times New Roman" w:cs="Times New Roman"/>
          <w:sz w:val="24"/>
          <w:szCs w:val="24"/>
        </w:rPr>
        <w:t xml:space="preserve">. This comprises </w:t>
      </w:r>
      <w:r w:rsidR="000B24B6" w:rsidRPr="000B24B6">
        <w:rPr>
          <w:rFonts w:ascii="Times New Roman" w:hAnsi="Times New Roman" w:cs="Times New Roman"/>
          <w:sz w:val="24"/>
          <w:szCs w:val="24"/>
        </w:rPr>
        <w:t>49</w:t>
      </w:r>
      <w:r w:rsidR="00525B92" w:rsidRPr="000B24B6">
        <w:rPr>
          <w:rFonts w:ascii="Times New Roman" w:hAnsi="Times New Roman" w:cs="Times New Roman"/>
          <w:sz w:val="24"/>
          <w:szCs w:val="24"/>
        </w:rPr>
        <w:t>% of</w:t>
      </w:r>
      <w:r w:rsidR="00DA1613">
        <w:rPr>
          <w:rFonts w:ascii="Times New Roman" w:hAnsi="Times New Roman" w:cs="Times New Roman"/>
          <w:sz w:val="24"/>
          <w:szCs w:val="24"/>
        </w:rPr>
        <w:t xml:space="preserve"> the endowment f</w:t>
      </w:r>
      <w:r w:rsidR="00525B92">
        <w:rPr>
          <w:rFonts w:ascii="Times New Roman" w:hAnsi="Times New Roman" w:cs="Times New Roman"/>
          <w:sz w:val="24"/>
          <w:szCs w:val="24"/>
        </w:rPr>
        <w:t>und</w:t>
      </w:r>
      <w:r w:rsidR="00DA1613">
        <w:rPr>
          <w:rFonts w:ascii="Times New Roman" w:hAnsi="Times New Roman" w:cs="Times New Roman"/>
          <w:sz w:val="24"/>
          <w:szCs w:val="24"/>
        </w:rPr>
        <w:t>s</w:t>
      </w:r>
      <w:r w:rsidR="00D77366" w:rsidRPr="00917772">
        <w:rPr>
          <w:rFonts w:ascii="Times New Roman" w:hAnsi="Times New Roman" w:cs="Times New Roman"/>
          <w:sz w:val="24"/>
          <w:szCs w:val="24"/>
        </w:rPr>
        <w:t xml:space="preserve">.  </w:t>
      </w:r>
      <w:r w:rsidR="000D4FA3">
        <w:rPr>
          <w:rFonts w:ascii="Times New Roman" w:hAnsi="Times New Roman" w:cs="Times New Roman"/>
          <w:sz w:val="24"/>
          <w:szCs w:val="24"/>
        </w:rPr>
        <w:t>T</w:t>
      </w:r>
      <w:r w:rsidR="00D77366" w:rsidRPr="00917772">
        <w:rPr>
          <w:rFonts w:ascii="Times New Roman" w:hAnsi="Times New Roman" w:cs="Times New Roman"/>
          <w:sz w:val="24"/>
          <w:szCs w:val="24"/>
        </w:rPr>
        <w:t xml:space="preserve">he </w:t>
      </w:r>
      <w:r w:rsidR="00D77366" w:rsidRPr="00917772">
        <w:rPr>
          <w:rFonts w:ascii="Times New Roman" w:hAnsi="Times New Roman" w:cs="Times New Roman"/>
          <w:i/>
          <w:sz w:val="24"/>
          <w:szCs w:val="24"/>
        </w:rPr>
        <w:t xml:space="preserve">Endowment Pool </w:t>
      </w:r>
      <w:r w:rsidR="00D77366" w:rsidRPr="00917772">
        <w:rPr>
          <w:rFonts w:ascii="Times New Roman" w:hAnsi="Times New Roman" w:cs="Times New Roman"/>
          <w:sz w:val="24"/>
          <w:szCs w:val="24"/>
        </w:rPr>
        <w:t>(</w:t>
      </w:r>
      <w:r w:rsidR="000D4FA3">
        <w:rPr>
          <w:rFonts w:ascii="Times New Roman" w:hAnsi="Times New Roman" w:cs="Times New Roman"/>
          <w:sz w:val="24"/>
          <w:szCs w:val="24"/>
        </w:rPr>
        <w:t>dark and light blue segments</w:t>
      </w:r>
      <w:r w:rsidR="00D77366">
        <w:rPr>
          <w:rFonts w:ascii="Times New Roman" w:hAnsi="Times New Roman" w:cs="Times New Roman"/>
          <w:sz w:val="24"/>
          <w:szCs w:val="24"/>
        </w:rPr>
        <w:t xml:space="preserve"> in Figure 2</w:t>
      </w:r>
      <w:r w:rsidR="00D77366" w:rsidRPr="00917772">
        <w:rPr>
          <w:rFonts w:ascii="Times New Roman" w:hAnsi="Times New Roman" w:cs="Times New Roman"/>
          <w:sz w:val="24"/>
          <w:szCs w:val="24"/>
        </w:rPr>
        <w:t xml:space="preserve">) is managed on a consolidated basis to permit a pooled total return investment approach </w:t>
      </w:r>
      <w:r w:rsidR="00D77366" w:rsidRPr="000B24B6">
        <w:rPr>
          <w:rFonts w:ascii="Times New Roman" w:hAnsi="Times New Roman" w:cs="Times New Roman"/>
          <w:sz w:val="24"/>
          <w:szCs w:val="24"/>
        </w:rPr>
        <w:t>w</w:t>
      </w:r>
      <w:r w:rsidR="00925665" w:rsidRPr="000B24B6">
        <w:rPr>
          <w:rFonts w:ascii="Times New Roman" w:hAnsi="Times New Roman" w:cs="Times New Roman"/>
          <w:sz w:val="24"/>
          <w:szCs w:val="24"/>
        </w:rPr>
        <w:t xml:space="preserve">ith a </w:t>
      </w:r>
      <w:proofErr w:type="gramStart"/>
      <w:r w:rsidR="00925665" w:rsidRPr="000B24B6">
        <w:rPr>
          <w:rFonts w:ascii="Times New Roman" w:hAnsi="Times New Roman" w:cs="Times New Roman"/>
          <w:sz w:val="24"/>
          <w:szCs w:val="24"/>
        </w:rPr>
        <w:t>long term</w:t>
      </w:r>
      <w:proofErr w:type="gramEnd"/>
      <w:r w:rsidR="00925665" w:rsidRPr="000B24B6">
        <w:rPr>
          <w:rFonts w:ascii="Times New Roman" w:hAnsi="Times New Roman" w:cs="Times New Roman"/>
          <w:sz w:val="24"/>
          <w:szCs w:val="24"/>
        </w:rPr>
        <w:t xml:space="preserve"> investment horizon.</w:t>
      </w:r>
      <w:r w:rsidR="000D4FA3" w:rsidRPr="000B24B6">
        <w:rPr>
          <w:rFonts w:ascii="Times New Roman" w:hAnsi="Times New Roman" w:cs="Times New Roman"/>
          <w:sz w:val="24"/>
          <w:szCs w:val="24"/>
        </w:rPr>
        <w:t xml:space="preserve"> Gifts associated with separately invested endowments and endowed farms (</w:t>
      </w:r>
      <w:r w:rsidR="000B24B6" w:rsidRPr="000B24B6">
        <w:rPr>
          <w:rFonts w:ascii="Times New Roman" w:hAnsi="Times New Roman" w:cs="Times New Roman"/>
          <w:sz w:val="24"/>
          <w:szCs w:val="24"/>
        </w:rPr>
        <w:t>0.1% and 7.2</w:t>
      </w:r>
      <w:r w:rsidR="000D4FA3" w:rsidRPr="000B24B6">
        <w:rPr>
          <w:rFonts w:ascii="Times New Roman" w:hAnsi="Times New Roman" w:cs="Times New Roman"/>
          <w:sz w:val="24"/>
          <w:szCs w:val="24"/>
        </w:rPr>
        <w:t>% of</w:t>
      </w:r>
      <w:r w:rsidR="000D4FA3" w:rsidRPr="002C48FC">
        <w:rPr>
          <w:rFonts w:ascii="Times New Roman" w:hAnsi="Times New Roman" w:cs="Times New Roman"/>
          <w:sz w:val="24"/>
          <w:szCs w:val="24"/>
        </w:rPr>
        <w:t xml:space="preserve"> the</w:t>
      </w:r>
      <w:r w:rsidR="00DA1613">
        <w:rPr>
          <w:rFonts w:ascii="Times New Roman" w:hAnsi="Times New Roman" w:cs="Times New Roman"/>
          <w:sz w:val="24"/>
          <w:szCs w:val="24"/>
        </w:rPr>
        <w:t xml:space="preserve"> e</w:t>
      </w:r>
      <w:r w:rsidR="000D4FA3" w:rsidRPr="00917772">
        <w:rPr>
          <w:rFonts w:ascii="Times New Roman" w:hAnsi="Times New Roman" w:cs="Times New Roman"/>
          <w:sz w:val="24"/>
          <w:szCs w:val="24"/>
        </w:rPr>
        <w:t>ndowment fund</w:t>
      </w:r>
      <w:r w:rsidR="00DA1613">
        <w:rPr>
          <w:rFonts w:ascii="Times New Roman" w:hAnsi="Times New Roman" w:cs="Times New Roman"/>
          <w:sz w:val="24"/>
          <w:szCs w:val="24"/>
        </w:rPr>
        <w:t>s</w:t>
      </w:r>
      <w:r w:rsidR="000D4FA3">
        <w:rPr>
          <w:rFonts w:ascii="Times New Roman" w:hAnsi="Times New Roman" w:cs="Times New Roman"/>
          <w:sz w:val="24"/>
          <w:szCs w:val="24"/>
        </w:rPr>
        <w:t>, respectively</w:t>
      </w:r>
      <w:r w:rsidR="000D4FA3" w:rsidRPr="00917772">
        <w:rPr>
          <w:rFonts w:ascii="Times New Roman" w:hAnsi="Times New Roman" w:cs="Times New Roman"/>
          <w:sz w:val="24"/>
          <w:szCs w:val="24"/>
        </w:rPr>
        <w:t>)</w:t>
      </w:r>
      <w:r w:rsidR="00314526">
        <w:rPr>
          <w:rFonts w:ascii="Times New Roman" w:hAnsi="Times New Roman" w:cs="Times New Roman"/>
          <w:sz w:val="24"/>
          <w:szCs w:val="24"/>
        </w:rPr>
        <w:t xml:space="preserve"> are managed outside of the pool.</w:t>
      </w:r>
    </w:p>
    <w:p w14:paraId="717F0141" w14:textId="1ED2E0EC" w:rsidR="00E84D90" w:rsidRPr="00D77366" w:rsidRDefault="00925665" w:rsidP="00E1022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61B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7E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11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90" w:rsidRPr="00044B67">
        <w:rPr>
          <w:rFonts w:ascii="Times New Roman" w:hAnsi="Times New Roman" w:cs="Times New Roman"/>
          <w:b/>
          <w:sz w:val="24"/>
          <w:szCs w:val="24"/>
        </w:rPr>
        <w:t>Figure 2</w:t>
      </w:r>
    </w:p>
    <w:p w14:paraId="79880DA7" w14:textId="64EED058" w:rsidR="00E84D90" w:rsidRPr="00917772" w:rsidRDefault="000D4FA3" w:rsidP="00E102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BBA619" wp14:editId="2705D4EA">
            <wp:extent cx="3938647" cy="2651760"/>
            <wp:effectExtent l="0" t="0" r="5080" b="1524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887E00" w14:textId="7064B289" w:rsidR="00E84D90" w:rsidRDefault="00E1022B" w:rsidP="00E1022B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57E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11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90" w:rsidRPr="00E30884">
        <w:rPr>
          <w:rFonts w:ascii="Times New Roman" w:hAnsi="Times New Roman" w:cs="Times New Roman"/>
          <w:b/>
          <w:sz w:val="24"/>
          <w:szCs w:val="24"/>
        </w:rPr>
        <w:t>Figure 3</w:t>
      </w:r>
    </w:p>
    <w:p w14:paraId="3486724D" w14:textId="1D058E8A" w:rsidR="00917772" w:rsidRDefault="00A67550" w:rsidP="00E102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39FB47" wp14:editId="766A0C3F">
            <wp:extent cx="4019550" cy="2743200"/>
            <wp:effectExtent l="0" t="0" r="0" b="0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DE564A5" w14:textId="77777777" w:rsidR="00657EB2" w:rsidRPr="00B84039" w:rsidRDefault="00657EB2" w:rsidP="00657EB2">
      <w:pPr>
        <w:rPr>
          <w:rFonts w:ascii="Times New Roman" w:hAnsi="Times New Roman" w:cs="Times New Roman"/>
          <w:b/>
          <w:sz w:val="28"/>
          <w:szCs w:val="28"/>
        </w:rPr>
      </w:pPr>
      <w:r w:rsidRPr="00B84039">
        <w:rPr>
          <w:rFonts w:ascii="Times New Roman" w:hAnsi="Times New Roman" w:cs="Times New Roman"/>
          <w:b/>
          <w:sz w:val="28"/>
          <w:szCs w:val="28"/>
        </w:rPr>
        <w:lastRenderedPageBreak/>
        <w:t>Asset Allocation</w:t>
      </w:r>
    </w:p>
    <w:p w14:paraId="7452F3FE" w14:textId="2054788B" w:rsidR="00657EB2" w:rsidRDefault="00657EB2" w:rsidP="0065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17772">
        <w:rPr>
          <w:rFonts w:ascii="Times New Roman" w:hAnsi="Times New Roman" w:cs="Times New Roman"/>
          <w:sz w:val="24"/>
          <w:szCs w:val="24"/>
        </w:rPr>
        <w:t xml:space="preserve">he </w:t>
      </w:r>
      <w:r w:rsidR="00DA1613">
        <w:rPr>
          <w:rFonts w:ascii="Times New Roman" w:hAnsi="Times New Roman" w:cs="Times New Roman"/>
          <w:sz w:val="24"/>
          <w:szCs w:val="24"/>
        </w:rPr>
        <w:t>endowment pool</w:t>
      </w:r>
      <w:r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772">
        <w:rPr>
          <w:rFonts w:ascii="Times New Roman" w:hAnsi="Times New Roman" w:cs="Times New Roman"/>
          <w:sz w:val="24"/>
          <w:szCs w:val="24"/>
        </w:rPr>
        <w:t>is invested in a variety of asset cla</w:t>
      </w:r>
      <w:r w:rsidR="00C16351">
        <w:rPr>
          <w:rFonts w:ascii="Times New Roman" w:hAnsi="Times New Roman" w:cs="Times New Roman"/>
          <w:sz w:val="24"/>
          <w:szCs w:val="24"/>
        </w:rPr>
        <w:t>sses in accordance with policy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C16351">
        <w:rPr>
          <w:rFonts w:ascii="Times New Roman" w:hAnsi="Times New Roman" w:cs="Times New Roman"/>
          <w:sz w:val="24"/>
          <w:szCs w:val="24"/>
        </w:rPr>
        <w:t>approved</w:t>
      </w:r>
      <w:r w:rsidRPr="00917772">
        <w:rPr>
          <w:rFonts w:ascii="Times New Roman" w:hAnsi="Times New Roman" w:cs="Times New Roman"/>
          <w:sz w:val="24"/>
          <w:szCs w:val="24"/>
        </w:rPr>
        <w:t xml:space="preserve"> by the BO</w:t>
      </w:r>
      <w:r w:rsidR="00DA1613">
        <w:rPr>
          <w:rFonts w:ascii="Times New Roman" w:hAnsi="Times New Roman" w:cs="Times New Roman"/>
          <w:sz w:val="24"/>
          <w:szCs w:val="24"/>
        </w:rPr>
        <w:t>T. The current distribution of endowment p</w:t>
      </w:r>
      <w:r w:rsidRPr="00917772">
        <w:rPr>
          <w:rFonts w:ascii="Times New Roman" w:hAnsi="Times New Roman" w:cs="Times New Roman"/>
          <w:sz w:val="24"/>
          <w:szCs w:val="24"/>
        </w:rPr>
        <w:t>oo</w:t>
      </w:r>
      <w:r w:rsidR="00EB4E4A">
        <w:rPr>
          <w:rFonts w:ascii="Times New Roman" w:hAnsi="Times New Roman" w:cs="Times New Roman"/>
          <w:sz w:val="24"/>
          <w:szCs w:val="24"/>
        </w:rPr>
        <w:t xml:space="preserve">l funds across </w:t>
      </w:r>
      <w:r w:rsidR="00463653">
        <w:rPr>
          <w:rFonts w:ascii="Times New Roman" w:hAnsi="Times New Roman" w:cs="Times New Roman"/>
          <w:sz w:val="24"/>
          <w:szCs w:val="24"/>
        </w:rPr>
        <w:t>sub-</w:t>
      </w:r>
      <w:r w:rsidR="00EB4E4A">
        <w:rPr>
          <w:rFonts w:ascii="Times New Roman" w:hAnsi="Times New Roman" w:cs="Times New Roman"/>
          <w:sz w:val="24"/>
          <w:szCs w:val="24"/>
        </w:rPr>
        <w:t>asset classes is</w:t>
      </w:r>
      <w:r w:rsidRPr="00917772">
        <w:rPr>
          <w:rFonts w:ascii="Times New Roman" w:hAnsi="Times New Roman" w:cs="Times New Roman"/>
          <w:sz w:val="24"/>
          <w:szCs w:val="24"/>
        </w:rPr>
        <w:t xml:space="preserve"> shown in Figu</w:t>
      </w:r>
      <w:r w:rsidR="00C16351">
        <w:rPr>
          <w:rFonts w:ascii="Times New Roman" w:hAnsi="Times New Roman" w:cs="Times New Roman"/>
          <w:sz w:val="24"/>
          <w:szCs w:val="24"/>
        </w:rPr>
        <w:t>r</w:t>
      </w:r>
      <w:r w:rsidRPr="0091777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7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Figure 5</w:t>
      </w:r>
      <w:r w:rsidRPr="00917772">
        <w:rPr>
          <w:rFonts w:ascii="Times New Roman" w:hAnsi="Times New Roman" w:cs="Times New Roman"/>
          <w:sz w:val="24"/>
          <w:szCs w:val="24"/>
        </w:rPr>
        <w:t xml:space="preserve"> compares the actual allocations to </w:t>
      </w:r>
      <w:r w:rsidR="00F96C7B">
        <w:rPr>
          <w:rFonts w:ascii="Times New Roman" w:hAnsi="Times New Roman" w:cs="Times New Roman"/>
          <w:sz w:val="24"/>
          <w:szCs w:val="24"/>
        </w:rPr>
        <w:t xml:space="preserve">long term </w:t>
      </w:r>
      <w:r w:rsidRPr="00917772">
        <w:rPr>
          <w:rFonts w:ascii="Times New Roman" w:hAnsi="Times New Roman" w:cs="Times New Roman"/>
          <w:sz w:val="24"/>
          <w:szCs w:val="24"/>
        </w:rPr>
        <w:t xml:space="preserve">policy ranges. </w:t>
      </w:r>
      <w:r w:rsidR="00A21063">
        <w:rPr>
          <w:rFonts w:ascii="Times New Roman" w:hAnsi="Times New Roman" w:cs="Times New Roman"/>
          <w:sz w:val="24"/>
          <w:szCs w:val="24"/>
        </w:rPr>
        <w:t>All asset classes remain in policy ranges.</w:t>
      </w:r>
    </w:p>
    <w:p w14:paraId="2D674040" w14:textId="0421F38E" w:rsidR="00657EB2" w:rsidRPr="004C2AC4" w:rsidRDefault="00657EB2" w:rsidP="00657EB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E5F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73B1">
        <w:rPr>
          <w:rFonts w:ascii="Times New Roman" w:hAnsi="Times New Roman" w:cs="Times New Roman"/>
          <w:b/>
          <w:sz w:val="24"/>
          <w:szCs w:val="24"/>
        </w:rPr>
        <w:t>Figure 4</w:t>
      </w:r>
    </w:p>
    <w:p w14:paraId="1A0E5745" w14:textId="01669BC9" w:rsidR="008573B1" w:rsidRDefault="008573B1" w:rsidP="00657E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7331C1" wp14:editId="7514D9A1">
            <wp:extent cx="4762500" cy="2827020"/>
            <wp:effectExtent l="0" t="0" r="0" b="1143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51F36D" w14:textId="0472ED1D" w:rsidR="00657EB2" w:rsidRPr="004C2AC4" w:rsidRDefault="00657EB2" w:rsidP="00657E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E5F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43C3">
        <w:rPr>
          <w:rFonts w:ascii="Times New Roman" w:hAnsi="Times New Roman" w:cs="Times New Roman"/>
          <w:b/>
          <w:sz w:val="24"/>
          <w:szCs w:val="24"/>
        </w:rPr>
        <w:t>Figure 5</w:t>
      </w:r>
    </w:p>
    <w:p w14:paraId="36F48C04" w14:textId="40A6FE5F" w:rsidR="00657EB2" w:rsidRDefault="0022073E" w:rsidP="00657E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795B3A" wp14:editId="0964E06B">
            <wp:extent cx="4733925" cy="228600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AC531D" w14:textId="77777777" w:rsidR="00657EB2" w:rsidRDefault="00657EB2" w:rsidP="00657EB2">
      <w:pPr>
        <w:rPr>
          <w:rFonts w:ascii="Times New Roman" w:hAnsi="Times New Roman" w:cs="Times New Roman"/>
          <w:sz w:val="24"/>
          <w:szCs w:val="24"/>
        </w:rPr>
      </w:pPr>
    </w:p>
    <w:p w14:paraId="13FD5B53" w14:textId="77777777" w:rsidR="00657EB2" w:rsidRDefault="00657EB2" w:rsidP="00657EB2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5ECE1AB4" w14:textId="77777777" w:rsidR="00836A9E" w:rsidRDefault="00836A9E" w:rsidP="00657EB2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79A5462E" w14:textId="15C77199" w:rsidR="00657EB2" w:rsidRDefault="00657EB2" w:rsidP="00657E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DA1613">
        <w:rPr>
          <w:rFonts w:ascii="Times New Roman" w:hAnsi="Times New Roman" w:cs="Times New Roman"/>
          <w:sz w:val="24"/>
          <w:szCs w:val="24"/>
        </w:rPr>
        <w:t>endowment p</w:t>
      </w:r>
      <w:r w:rsidRPr="00EE7076">
        <w:rPr>
          <w:rFonts w:ascii="Times New Roman" w:hAnsi="Times New Roman" w:cs="Times New Roman"/>
          <w:sz w:val="24"/>
          <w:szCs w:val="24"/>
        </w:rPr>
        <w:t>ool is unique compared to peers in its relatively low allocati</w:t>
      </w:r>
      <w:r w:rsidR="008E3BF3" w:rsidRPr="00EE7076">
        <w:rPr>
          <w:rFonts w:ascii="Times New Roman" w:hAnsi="Times New Roman" w:cs="Times New Roman"/>
          <w:sz w:val="24"/>
          <w:szCs w:val="24"/>
        </w:rPr>
        <w:t>on to alternative assets. Approximately</w:t>
      </w:r>
      <w:r w:rsidRPr="00EE7076">
        <w:rPr>
          <w:rFonts w:ascii="Times New Roman" w:hAnsi="Times New Roman" w:cs="Times New Roman"/>
          <w:sz w:val="24"/>
          <w:szCs w:val="24"/>
        </w:rPr>
        <w:t xml:space="preserve"> </w:t>
      </w:r>
      <w:r w:rsidR="000A3FCE" w:rsidRPr="008573B1">
        <w:rPr>
          <w:rFonts w:ascii="Times New Roman" w:hAnsi="Times New Roman" w:cs="Times New Roman"/>
          <w:sz w:val="24"/>
          <w:szCs w:val="24"/>
        </w:rPr>
        <w:t>7</w:t>
      </w:r>
      <w:r w:rsidR="00C4081D">
        <w:rPr>
          <w:rFonts w:ascii="Times New Roman" w:hAnsi="Times New Roman" w:cs="Times New Roman"/>
          <w:sz w:val="24"/>
          <w:szCs w:val="24"/>
        </w:rPr>
        <w:t>5</w:t>
      </w:r>
      <w:r w:rsidRPr="008573B1">
        <w:rPr>
          <w:rFonts w:ascii="Times New Roman" w:hAnsi="Times New Roman" w:cs="Times New Roman"/>
          <w:sz w:val="24"/>
          <w:szCs w:val="24"/>
        </w:rPr>
        <w:t>%</w:t>
      </w:r>
      <w:r w:rsidRPr="00EE7076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pool is comprised of traditional asset classes</w:t>
      </w:r>
      <w:r w:rsidRPr="00917772">
        <w:rPr>
          <w:rFonts w:ascii="Times New Roman" w:hAnsi="Times New Roman" w:cs="Times New Roman"/>
          <w:sz w:val="24"/>
          <w:szCs w:val="24"/>
        </w:rPr>
        <w:t xml:space="preserve">. This public market allocation allows for efficient rebalancing as redemptions and </w:t>
      </w:r>
      <w:r w:rsidR="0022073E">
        <w:rPr>
          <w:rFonts w:ascii="Times New Roman" w:hAnsi="Times New Roman" w:cs="Times New Roman"/>
          <w:sz w:val="24"/>
          <w:szCs w:val="24"/>
        </w:rPr>
        <w:t>contributions</w:t>
      </w:r>
      <w:r w:rsidR="00DF1782">
        <w:rPr>
          <w:rFonts w:ascii="Times New Roman" w:hAnsi="Times New Roman" w:cs="Times New Roman"/>
          <w:sz w:val="24"/>
          <w:szCs w:val="24"/>
        </w:rPr>
        <w:t xml:space="preserve"> can be made</w:t>
      </w:r>
      <w:r w:rsidRPr="00917772">
        <w:rPr>
          <w:rFonts w:ascii="Times New Roman" w:hAnsi="Times New Roman" w:cs="Times New Roman"/>
          <w:sz w:val="24"/>
          <w:szCs w:val="24"/>
        </w:rPr>
        <w:t xml:space="preserve"> on relatively short notice</w:t>
      </w:r>
      <w:r w:rsidR="00465C01">
        <w:rPr>
          <w:rFonts w:ascii="Times New Roman" w:hAnsi="Times New Roman" w:cs="Times New Roman"/>
          <w:sz w:val="24"/>
          <w:szCs w:val="24"/>
        </w:rPr>
        <w:t>. It also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BE6010">
        <w:rPr>
          <w:rFonts w:ascii="Times New Roman" w:hAnsi="Times New Roman" w:cs="Times New Roman"/>
          <w:sz w:val="24"/>
          <w:szCs w:val="24"/>
        </w:rPr>
        <w:t>reduce</w:t>
      </w:r>
      <w:r w:rsidR="00DF1782">
        <w:rPr>
          <w:rFonts w:ascii="Times New Roman" w:hAnsi="Times New Roman" w:cs="Times New Roman"/>
          <w:sz w:val="24"/>
          <w:szCs w:val="24"/>
        </w:rPr>
        <w:t>s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BE6010">
        <w:rPr>
          <w:rFonts w:ascii="Times New Roman" w:hAnsi="Times New Roman" w:cs="Times New Roman"/>
          <w:sz w:val="24"/>
          <w:szCs w:val="24"/>
        </w:rPr>
        <w:t>expenses</w:t>
      </w:r>
      <w:r w:rsidRPr="00917772">
        <w:rPr>
          <w:rFonts w:ascii="Times New Roman" w:hAnsi="Times New Roman" w:cs="Times New Roman"/>
          <w:sz w:val="24"/>
          <w:szCs w:val="24"/>
        </w:rPr>
        <w:t xml:space="preserve"> as traditional asset classes generally charge lower fees than alternative investment vehicles. Hedge funds and core real </w:t>
      </w:r>
      <w:r w:rsidR="003554A7">
        <w:rPr>
          <w:rFonts w:ascii="Times New Roman" w:hAnsi="Times New Roman" w:cs="Times New Roman"/>
          <w:sz w:val="24"/>
          <w:szCs w:val="24"/>
        </w:rPr>
        <w:t>estate were augmented into the endowment p</w:t>
      </w:r>
      <w:r w:rsidRPr="00917772">
        <w:rPr>
          <w:rFonts w:ascii="Times New Roman" w:hAnsi="Times New Roman" w:cs="Times New Roman"/>
          <w:sz w:val="24"/>
          <w:szCs w:val="24"/>
        </w:rPr>
        <w:t>ool</w:t>
      </w:r>
      <w:r w:rsidR="00BE6010">
        <w:rPr>
          <w:rFonts w:ascii="Times New Roman" w:hAnsi="Times New Roman" w:cs="Times New Roman"/>
          <w:sz w:val="24"/>
          <w:szCs w:val="24"/>
        </w:rPr>
        <w:t xml:space="preserve"> asset allocation in 2010, and s</w:t>
      </w:r>
      <w:r w:rsidR="00A85D14">
        <w:rPr>
          <w:rFonts w:ascii="Times New Roman" w:hAnsi="Times New Roman" w:cs="Times New Roman"/>
          <w:sz w:val="24"/>
          <w:szCs w:val="24"/>
        </w:rPr>
        <w:t>taff has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0A3FCE">
        <w:rPr>
          <w:rFonts w:ascii="Times New Roman" w:hAnsi="Times New Roman" w:cs="Times New Roman"/>
          <w:sz w:val="24"/>
          <w:szCs w:val="24"/>
        </w:rPr>
        <w:t xml:space="preserve">largely </w:t>
      </w:r>
      <w:r w:rsidRPr="00917772">
        <w:rPr>
          <w:rFonts w:ascii="Times New Roman" w:hAnsi="Times New Roman" w:cs="Times New Roman"/>
          <w:sz w:val="24"/>
          <w:szCs w:val="24"/>
        </w:rPr>
        <w:t>transition</w:t>
      </w:r>
      <w:r w:rsidR="00A85D14">
        <w:rPr>
          <w:rFonts w:ascii="Times New Roman" w:hAnsi="Times New Roman" w:cs="Times New Roman"/>
          <w:sz w:val="24"/>
          <w:szCs w:val="24"/>
        </w:rPr>
        <w:t>ed</w:t>
      </w:r>
      <w:r w:rsidRPr="00917772">
        <w:rPr>
          <w:rFonts w:ascii="Times New Roman" w:hAnsi="Times New Roman" w:cs="Times New Roman"/>
          <w:sz w:val="24"/>
          <w:szCs w:val="24"/>
        </w:rPr>
        <w:t xml:space="preserve"> the private equity program from the fund-of-fund struct</w:t>
      </w:r>
      <w:r w:rsidR="000A3FCE">
        <w:rPr>
          <w:rFonts w:ascii="Times New Roman" w:hAnsi="Times New Roman" w:cs="Times New Roman"/>
          <w:sz w:val="24"/>
          <w:szCs w:val="24"/>
        </w:rPr>
        <w:t>ure that origin</w:t>
      </w:r>
      <w:r w:rsidR="00DF1782">
        <w:rPr>
          <w:rFonts w:ascii="Times New Roman" w:hAnsi="Times New Roman" w:cs="Times New Roman"/>
          <w:sz w:val="24"/>
          <w:szCs w:val="24"/>
        </w:rPr>
        <w:t xml:space="preserve">ated in 2004 to a model </w:t>
      </w:r>
      <w:r w:rsidR="000A3FCE">
        <w:rPr>
          <w:rFonts w:ascii="Times New Roman" w:hAnsi="Times New Roman" w:cs="Times New Roman"/>
          <w:sz w:val="24"/>
          <w:szCs w:val="24"/>
        </w:rPr>
        <w:t>comprised of direct investments in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A85D14">
        <w:rPr>
          <w:rFonts w:ascii="Times New Roman" w:hAnsi="Times New Roman" w:cs="Times New Roman"/>
          <w:sz w:val="24"/>
          <w:szCs w:val="24"/>
        </w:rPr>
        <w:t>limited partnership</w:t>
      </w:r>
      <w:r w:rsidR="000A3FCE">
        <w:rPr>
          <w:rFonts w:ascii="Times New Roman" w:hAnsi="Times New Roman" w:cs="Times New Roman"/>
          <w:sz w:val="24"/>
          <w:szCs w:val="24"/>
        </w:rPr>
        <w:t>s</w:t>
      </w:r>
      <w:r w:rsidRPr="00917772">
        <w:rPr>
          <w:rFonts w:ascii="Times New Roman" w:hAnsi="Times New Roman" w:cs="Times New Roman"/>
          <w:sz w:val="24"/>
          <w:szCs w:val="24"/>
        </w:rPr>
        <w:t xml:space="preserve">.  The inclusion of farmland as an asset class also </w:t>
      </w:r>
      <w:r w:rsidR="00DA1613">
        <w:rPr>
          <w:rFonts w:ascii="Times New Roman" w:hAnsi="Times New Roman" w:cs="Times New Roman"/>
          <w:sz w:val="24"/>
          <w:szCs w:val="24"/>
        </w:rPr>
        <w:t>distinguishes the endowment f</w:t>
      </w:r>
      <w:r w:rsidR="000A3FCE">
        <w:rPr>
          <w:rFonts w:ascii="Times New Roman" w:hAnsi="Times New Roman" w:cs="Times New Roman"/>
          <w:sz w:val="24"/>
          <w:szCs w:val="24"/>
        </w:rPr>
        <w:t>und</w:t>
      </w:r>
      <w:r w:rsidR="00DA1613">
        <w:rPr>
          <w:rFonts w:ascii="Times New Roman" w:hAnsi="Times New Roman" w:cs="Times New Roman"/>
          <w:sz w:val="24"/>
          <w:szCs w:val="24"/>
        </w:rPr>
        <w:t>s</w:t>
      </w:r>
      <w:r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613">
        <w:rPr>
          <w:rFonts w:ascii="Times New Roman" w:hAnsi="Times New Roman" w:cs="Times New Roman"/>
          <w:sz w:val="24"/>
          <w:szCs w:val="24"/>
        </w:rPr>
        <w:t xml:space="preserve">from </w:t>
      </w:r>
      <w:r w:rsidRPr="0062329C">
        <w:rPr>
          <w:rFonts w:ascii="Times New Roman" w:hAnsi="Times New Roman" w:cs="Times New Roman"/>
          <w:sz w:val="24"/>
          <w:szCs w:val="24"/>
        </w:rPr>
        <w:t>peers. Farmland includes agricultural land donated to the University</w:t>
      </w:r>
      <w:r w:rsidR="000A3FCE">
        <w:rPr>
          <w:rFonts w:ascii="Times New Roman" w:hAnsi="Times New Roman" w:cs="Times New Roman"/>
          <w:sz w:val="24"/>
          <w:szCs w:val="24"/>
        </w:rPr>
        <w:t>, as well as an investment into a closed-end U.S. farmland partnership, which serves to increase our allocation and diversify the geographical exposure. I</w:t>
      </w:r>
      <w:r w:rsidRPr="0062329C">
        <w:rPr>
          <w:rFonts w:ascii="Times New Roman" w:hAnsi="Times New Roman" w:cs="Times New Roman"/>
          <w:sz w:val="24"/>
          <w:szCs w:val="24"/>
        </w:rPr>
        <w:t xml:space="preserve">ncome from </w:t>
      </w:r>
      <w:r w:rsidR="000A3FCE">
        <w:rPr>
          <w:rFonts w:ascii="Times New Roman" w:hAnsi="Times New Roman" w:cs="Times New Roman"/>
          <w:sz w:val="24"/>
          <w:szCs w:val="24"/>
        </w:rPr>
        <w:t xml:space="preserve">endowment </w:t>
      </w:r>
      <w:r w:rsidRPr="0062329C">
        <w:rPr>
          <w:rFonts w:ascii="Times New Roman" w:hAnsi="Times New Roman" w:cs="Times New Roman"/>
          <w:sz w:val="24"/>
          <w:szCs w:val="24"/>
        </w:rPr>
        <w:t xml:space="preserve">farms supports student scholarship and research programs. </w:t>
      </w:r>
    </w:p>
    <w:p w14:paraId="50B941B6" w14:textId="2DD3E284" w:rsidR="00B84039" w:rsidRPr="00B84039" w:rsidRDefault="00B84039" w:rsidP="00657EB2">
      <w:pPr>
        <w:rPr>
          <w:rFonts w:ascii="Times New Roman" w:hAnsi="Times New Roman" w:cs="Times New Roman"/>
          <w:b/>
          <w:sz w:val="28"/>
          <w:szCs w:val="28"/>
        </w:rPr>
      </w:pPr>
      <w:r w:rsidRPr="00D65DDA">
        <w:rPr>
          <w:rFonts w:ascii="Times New Roman" w:hAnsi="Times New Roman" w:cs="Times New Roman"/>
          <w:b/>
          <w:sz w:val="28"/>
          <w:szCs w:val="28"/>
        </w:rPr>
        <w:t>Spending Policy</w:t>
      </w:r>
    </w:p>
    <w:p w14:paraId="1195C367" w14:textId="371AEED2" w:rsidR="00861B0F" w:rsidRDefault="00AD5175" w:rsidP="00657E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The investment objective of the </w:t>
      </w:r>
      <w:r w:rsidR="00DA1613">
        <w:rPr>
          <w:rFonts w:ascii="Times New Roman" w:hAnsi="Times New Roman" w:cs="Times New Roman"/>
          <w:sz w:val="24"/>
          <w:szCs w:val="24"/>
        </w:rPr>
        <w:t>endowment pool</w:t>
      </w:r>
      <w:r w:rsidR="00822E2A"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E2A" w:rsidRPr="00917772">
        <w:rPr>
          <w:rFonts w:ascii="Times New Roman" w:hAnsi="Times New Roman" w:cs="Times New Roman"/>
          <w:sz w:val="24"/>
          <w:szCs w:val="24"/>
        </w:rPr>
        <w:t>is to prese</w:t>
      </w:r>
      <w:r w:rsidR="00EB4E4A">
        <w:rPr>
          <w:rFonts w:ascii="Times New Roman" w:hAnsi="Times New Roman" w:cs="Times New Roman"/>
          <w:sz w:val="24"/>
          <w:szCs w:val="24"/>
        </w:rPr>
        <w:t xml:space="preserve">rve the purchasing power of </w:t>
      </w:r>
      <w:r w:rsidR="00D84095" w:rsidRPr="00917772">
        <w:rPr>
          <w:rFonts w:ascii="Times New Roman" w:hAnsi="Times New Roman" w:cs="Times New Roman"/>
          <w:sz w:val="24"/>
          <w:szCs w:val="24"/>
        </w:rPr>
        <w:t>pool assets</w:t>
      </w:r>
      <w:r w:rsidR="00375255" w:rsidRPr="00917772">
        <w:rPr>
          <w:rFonts w:ascii="Times New Roman" w:hAnsi="Times New Roman" w:cs="Times New Roman"/>
          <w:sz w:val="24"/>
          <w:szCs w:val="24"/>
        </w:rPr>
        <w:t xml:space="preserve"> and provide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 annual suppo</w:t>
      </w:r>
      <w:r w:rsidR="00DA1613">
        <w:rPr>
          <w:rFonts w:ascii="Times New Roman" w:hAnsi="Times New Roman" w:cs="Times New Roman"/>
          <w:sz w:val="24"/>
          <w:szCs w:val="24"/>
        </w:rPr>
        <w:t>rt for an infinite period. The endowment p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ool annual spending policy for </w:t>
      </w:r>
      <w:r w:rsidR="00657EB2">
        <w:rPr>
          <w:rFonts w:ascii="Times New Roman" w:hAnsi="Times New Roman" w:cs="Times New Roman"/>
          <w:sz w:val="24"/>
          <w:szCs w:val="24"/>
        </w:rPr>
        <w:t>fiscal year</w:t>
      </w:r>
      <w:r w:rsidR="00EB4E4A">
        <w:rPr>
          <w:rFonts w:ascii="Times New Roman" w:hAnsi="Times New Roman" w:cs="Times New Roman"/>
          <w:sz w:val="24"/>
          <w:szCs w:val="24"/>
        </w:rPr>
        <w:t xml:space="preserve"> </w:t>
      </w:r>
      <w:r w:rsidR="00B31B5B">
        <w:rPr>
          <w:rFonts w:ascii="Times New Roman" w:hAnsi="Times New Roman" w:cs="Times New Roman"/>
          <w:sz w:val="24"/>
          <w:szCs w:val="24"/>
        </w:rPr>
        <w:t>202</w:t>
      </w:r>
      <w:r w:rsidR="00465C01">
        <w:rPr>
          <w:rFonts w:ascii="Times New Roman" w:hAnsi="Times New Roman" w:cs="Times New Roman"/>
          <w:sz w:val="24"/>
          <w:szCs w:val="24"/>
        </w:rPr>
        <w:t>1</w:t>
      </w:r>
      <w:r w:rsidR="00F47234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is based on a percentage of a </w:t>
      </w:r>
      <w:proofErr w:type="gramStart"/>
      <w:r w:rsidR="00822E2A" w:rsidRPr="00917772">
        <w:rPr>
          <w:rFonts w:ascii="Times New Roman" w:hAnsi="Times New Roman" w:cs="Times New Roman"/>
          <w:sz w:val="24"/>
          <w:szCs w:val="24"/>
        </w:rPr>
        <w:t>six year</w:t>
      </w:r>
      <w:proofErr w:type="gramEnd"/>
      <w:r w:rsidR="00822E2A" w:rsidRPr="00917772">
        <w:rPr>
          <w:rFonts w:ascii="Times New Roman" w:hAnsi="Times New Roman" w:cs="Times New Roman"/>
          <w:sz w:val="24"/>
          <w:szCs w:val="24"/>
        </w:rPr>
        <w:t xml:space="preserve"> moving average of </w:t>
      </w:r>
      <w:r w:rsidR="00BF5824">
        <w:rPr>
          <w:rFonts w:ascii="Times New Roman" w:hAnsi="Times New Roman" w:cs="Times New Roman"/>
          <w:sz w:val="24"/>
          <w:szCs w:val="24"/>
        </w:rPr>
        <w:t xml:space="preserve">the unit </w:t>
      </w:r>
      <w:r w:rsidR="00DA1613">
        <w:rPr>
          <w:rFonts w:ascii="Times New Roman" w:hAnsi="Times New Roman" w:cs="Times New Roman"/>
          <w:sz w:val="24"/>
          <w:szCs w:val="24"/>
        </w:rPr>
        <w:t>market value of the endowment p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ool. 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822E2A" w:rsidRPr="00917772">
        <w:rPr>
          <w:rFonts w:ascii="Times New Roman" w:hAnsi="Times New Roman" w:cs="Times New Roman"/>
          <w:sz w:val="24"/>
          <w:szCs w:val="24"/>
        </w:rPr>
        <w:t>The spending rate—set by the Comptroller annually</w:t>
      </w:r>
      <w:r w:rsidR="00CC61BC" w:rsidRPr="00917772">
        <w:rPr>
          <w:rFonts w:ascii="Times New Roman" w:hAnsi="Times New Roman" w:cs="Times New Roman"/>
          <w:sz w:val="24"/>
          <w:szCs w:val="24"/>
        </w:rPr>
        <w:t xml:space="preserve"> in</w:t>
      </w:r>
      <w:r w:rsidR="004663AB" w:rsidRPr="00917772">
        <w:rPr>
          <w:rFonts w:ascii="Times New Roman" w:hAnsi="Times New Roman" w:cs="Times New Roman"/>
          <w:sz w:val="24"/>
          <w:szCs w:val="24"/>
        </w:rPr>
        <w:t xml:space="preserve"> consultation with the President</w:t>
      </w:r>
      <w:r w:rsidR="00B31B5B">
        <w:rPr>
          <w:rFonts w:ascii="Times New Roman" w:hAnsi="Times New Roman" w:cs="Times New Roman"/>
          <w:sz w:val="24"/>
          <w:szCs w:val="24"/>
        </w:rPr>
        <w:t xml:space="preserve">—is </w:t>
      </w:r>
      <w:r w:rsidR="00B31B5B" w:rsidRPr="000A3FCE">
        <w:rPr>
          <w:rFonts w:ascii="Times New Roman" w:hAnsi="Times New Roman" w:cs="Times New Roman"/>
          <w:sz w:val="24"/>
          <w:szCs w:val="24"/>
        </w:rPr>
        <w:t>5.</w:t>
      </w:r>
      <w:r w:rsidR="00465C01">
        <w:rPr>
          <w:rFonts w:ascii="Times New Roman" w:hAnsi="Times New Roman" w:cs="Times New Roman"/>
          <w:sz w:val="24"/>
          <w:szCs w:val="24"/>
        </w:rPr>
        <w:t>3</w:t>
      </w:r>
      <w:r w:rsidR="00B31B5B" w:rsidRPr="000A3FCE">
        <w:rPr>
          <w:rFonts w:ascii="Times New Roman" w:hAnsi="Times New Roman" w:cs="Times New Roman"/>
          <w:sz w:val="24"/>
          <w:szCs w:val="24"/>
        </w:rPr>
        <w:t>5%,</w:t>
      </w:r>
      <w:r w:rsidR="00B31B5B" w:rsidRPr="00B31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B5B">
        <w:rPr>
          <w:rFonts w:ascii="Times New Roman" w:hAnsi="Times New Roman" w:cs="Times New Roman"/>
          <w:sz w:val="24"/>
          <w:szCs w:val="24"/>
        </w:rPr>
        <w:t xml:space="preserve">inclusive of a </w:t>
      </w:r>
      <w:r w:rsidR="000A3FCE" w:rsidRPr="000A3FCE">
        <w:rPr>
          <w:rFonts w:ascii="Times New Roman" w:hAnsi="Times New Roman" w:cs="Times New Roman"/>
          <w:sz w:val="24"/>
          <w:szCs w:val="24"/>
        </w:rPr>
        <w:t>1.</w:t>
      </w:r>
      <w:r w:rsidR="00465C01">
        <w:rPr>
          <w:rFonts w:ascii="Times New Roman" w:hAnsi="Times New Roman" w:cs="Times New Roman"/>
          <w:sz w:val="24"/>
          <w:szCs w:val="24"/>
        </w:rPr>
        <w:t>2</w:t>
      </w:r>
      <w:r w:rsidR="00822E2A" w:rsidRPr="000A3FCE">
        <w:rPr>
          <w:rFonts w:ascii="Times New Roman" w:hAnsi="Times New Roman" w:cs="Times New Roman"/>
          <w:sz w:val="24"/>
          <w:szCs w:val="24"/>
        </w:rPr>
        <w:t>5%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1C4547">
        <w:rPr>
          <w:rFonts w:ascii="Times New Roman" w:hAnsi="Times New Roman" w:cs="Times New Roman"/>
          <w:sz w:val="24"/>
          <w:szCs w:val="24"/>
        </w:rPr>
        <w:t>administrative fee</w:t>
      </w:r>
      <w:r w:rsidR="00375255" w:rsidRPr="00917772">
        <w:rPr>
          <w:rFonts w:ascii="Times New Roman" w:hAnsi="Times New Roman" w:cs="Times New Roman"/>
          <w:sz w:val="24"/>
          <w:szCs w:val="24"/>
        </w:rPr>
        <w:t>. T</w:t>
      </w:r>
      <w:r w:rsidR="00DA1613">
        <w:rPr>
          <w:rFonts w:ascii="Times New Roman" w:hAnsi="Times New Roman" w:cs="Times New Roman"/>
          <w:sz w:val="24"/>
          <w:szCs w:val="24"/>
        </w:rPr>
        <w:t>he endowment p</w:t>
      </w:r>
      <w:r w:rsidR="00822E2A" w:rsidRPr="00917772">
        <w:rPr>
          <w:rFonts w:ascii="Times New Roman" w:hAnsi="Times New Roman" w:cs="Times New Roman"/>
          <w:sz w:val="24"/>
          <w:szCs w:val="24"/>
        </w:rPr>
        <w:t>ool distributed</w:t>
      </w:r>
      <w:r w:rsidR="00375255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375255" w:rsidRPr="00AB4477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375255" w:rsidRPr="00C4081D">
        <w:rPr>
          <w:rFonts w:ascii="Times New Roman" w:hAnsi="Times New Roman" w:cs="Times New Roman"/>
          <w:sz w:val="24"/>
          <w:szCs w:val="24"/>
        </w:rPr>
        <w:t>$</w:t>
      </w:r>
      <w:r w:rsidR="00D0515A" w:rsidRPr="00C4081D">
        <w:rPr>
          <w:rFonts w:ascii="Times New Roman" w:hAnsi="Times New Roman" w:cs="Times New Roman"/>
          <w:sz w:val="24"/>
          <w:szCs w:val="24"/>
        </w:rPr>
        <w:t>2</w:t>
      </w:r>
      <w:r w:rsidR="00C4081D" w:rsidRPr="00C4081D">
        <w:rPr>
          <w:rFonts w:ascii="Times New Roman" w:hAnsi="Times New Roman" w:cs="Times New Roman"/>
          <w:sz w:val="24"/>
          <w:szCs w:val="24"/>
        </w:rPr>
        <w:t>6</w:t>
      </w:r>
      <w:r w:rsidR="001C4547" w:rsidRPr="00B31B5B">
        <w:rPr>
          <w:rFonts w:ascii="Times New Roman" w:hAnsi="Times New Roman" w:cs="Times New Roman"/>
          <w:sz w:val="24"/>
          <w:szCs w:val="24"/>
        </w:rPr>
        <w:t xml:space="preserve"> million</w:t>
      </w:r>
      <w:r w:rsidR="00CD2CDD">
        <w:rPr>
          <w:rFonts w:ascii="Times New Roman" w:hAnsi="Times New Roman" w:cs="Times New Roman"/>
          <w:sz w:val="24"/>
          <w:szCs w:val="24"/>
        </w:rPr>
        <w:t xml:space="preserve"> during </w:t>
      </w:r>
      <w:r w:rsidR="000A3FCE">
        <w:rPr>
          <w:rFonts w:ascii="Times New Roman" w:hAnsi="Times New Roman" w:cs="Times New Roman"/>
          <w:sz w:val="24"/>
          <w:szCs w:val="24"/>
        </w:rPr>
        <w:t>the 202</w:t>
      </w:r>
      <w:r w:rsidR="00CD2CDD">
        <w:rPr>
          <w:rFonts w:ascii="Times New Roman" w:hAnsi="Times New Roman" w:cs="Times New Roman"/>
          <w:sz w:val="24"/>
          <w:szCs w:val="24"/>
        </w:rPr>
        <w:t>1</w:t>
      </w:r>
      <w:r w:rsidR="00982624">
        <w:rPr>
          <w:rFonts w:ascii="Times New Roman" w:hAnsi="Times New Roman" w:cs="Times New Roman"/>
          <w:sz w:val="24"/>
          <w:szCs w:val="24"/>
        </w:rPr>
        <w:t xml:space="preserve"> fiscal year</w:t>
      </w:r>
      <w:r w:rsidR="00436737">
        <w:rPr>
          <w:rFonts w:ascii="Times New Roman" w:hAnsi="Times New Roman" w:cs="Times New Roman"/>
          <w:sz w:val="24"/>
          <w:szCs w:val="24"/>
        </w:rPr>
        <w:t xml:space="preserve"> </w:t>
      </w:r>
      <w:r w:rsidR="00D0515A">
        <w:rPr>
          <w:rFonts w:ascii="Times New Roman" w:hAnsi="Times New Roman" w:cs="Times New Roman"/>
          <w:sz w:val="24"/>
          <w:szCs w:val="24"/>
        </w:rPr>
        <w:t>(in</w:t>
      </w:r>
      <w:r w:rsidR="00485D0C">
        <w:rPr>
          <w:rFonts w:ascii="Times New Roman" w:hAnsi="Times New Roman" w:cs="Times New Roman"/>
          <w:sz w:val="24"/>
          <w:szCs w:val="24"/>
        </w:rPr>
        <w:t>clusive of</w:t>
      </w:r>
      <w:r w:rsidR="00CD2CDD">
        <w:rPr>
          <w:rFonts w:ascii="Times New Roman" w:hAnsi="Times New Roman" w:cs="Times New Roman"/>
          <w:sz w:val="24"/>
          <w:szCs w:val="24"/>
        </w:rPr>
        <w:t xml:space="preserve"> the administrative fee and excluding</w:t>
      </w:r>
      <w:r w:rsidR="00375255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F96DAB" w:rsidRPr="00917772">
        <w:rPr>
          <w:rFonts w:ascii="Times New Roman" w:hAnsi="Times New Roman" w:cs="Times New Roman"/>
          <w:sz w:val="24"/>
          <w:szCs w:val="24"/>
        </w:rPr>
        <w:t>income</w:t>
      </w:r>
      <w:r w:rsidR="00053230" w:rsidRPr="00917772">
        <w:rPr>
          <w:rFonts w:ascii="Times New Roman" w:hAnsi="Times New Roman" w:cs="Times New Roman"/>
          <w:sz w:val="24"/>
          <w:szCs w:val="24"/>
        </w:rPr>
        <w:t xml:space="preserve"> distributed </w:t>
      </w:r>
      <w:r w:rsidR="00947907">
        <w:rPr>
          <w:rFonts w:ascii="Times New Roman" w:hAnsi="Times New Roman" w:cs="Times New Roman"/>
          <w:sz w:val="24"/>
          <w:szCs w:val="24"/>
        </w:rPr>
        <w:t>from</w:t>
      </w:r>
      <w:r w:rsidR="00053230" w:rsidRPr="00917772">
        <w:rPr>
          <w:rFonts w:ascii="Times New Roman" w:hAnsi="Times New Roman" w:cs="Times New Roman"/>
          <w:sz w:val="24"/>
          <w:szCs w:val="24"/>
        </w:rPr>
        <w:t xml:space="preserve"> the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DA1613">
        <w:rPr>
          <w:rFonts w:ascii="Times New Roman" w:hAnsi="Times New Roman" w:cs="Times New Roman"/>
          <w:sz w:val="24"/>
          <w:szCs w:val="24"/>
        </w:rPr>
        <w:t>permanent c</w:t>
      </w:r>
      <w:r w:rsidR="00A32948">
        <w:rPr>
          <w:rFonts w:ascii="Times New Roman" w:hAnsi="Times New Roman" w:cs="Times New Roman"/>
          <w:sz w:val="24"/>
          <w:szCs w:val="24"/>
        </w:rPr>
        <w:t>ore allocation</w:t>
      </w:r>
      <w:r w:rsidR="000C41E5" w:rsidRPr="00917772">
        <w:rPr>
          <w:rFonts w:ascii="Times New Roman" w:hAnsi="Times New Roman" w:cs="Times New Roman"/>
          <w:sz w:val="24"/>
          <w:szCs w:val="24"/>
        </w:rPr>
        <w:t>)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750DF" w14:textId="6AFF9FDD" w:rsidR="00657EB2" w:rsidRPr="00B84039" w:rsidRDefault="00657EB2" w:rsidP="00657EB2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84039">
        <w:rPr>
          <w:rFonts w:ascii="Times New Roman" w:hAnsi="Times New Roman" w:cs="Times New Roman"/>
          <w:b/>
          <w:sz w:val="28"/>
          <w:szCs w:val="28"/>
        </w:rPr>
        <w:t>Performance</w:t>
      </w:r>
      <w:r w:rsidR="002C3769">
        <w:rPr>
          <w:rFonts w:ascii="Times New Roman" w:hAnsi="Times New Roman" w:cs="Times New Roman"/>
          <w:b/>
          <w:sz w:val="28"/>
          <w:szCs w:val="28"/>
        </w:rPr>
        <w:t xml:space="preserve"> Measurement</w:t>
      </w:r>
    </w:p>
    <w:p w14:paraId="71D62B1D" w14:textId="275355DB" w:rsidR="00657EB2" w:rsidRDefault="00657EB2" w:rsidP="00657EB2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variety of approaches, each with advantages and disadvantages, can be taken in measuring investment performance. Four methods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 w:rsidR="009E62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627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total return relative to the </w:t>
      </w:r>
      <w:r w:rsidR="009E6275">
        <w:rPr>
          <w:rFonts w:ascii="Times New Roman" w:hAnsi="Times New Roman" w:cs="Times New Roman"/>
          <w:sz w:val="24"/>
          <w:szCs w:val="24"/>
        </w:rPr>
        <w:t>combined rate of spending and inflation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6275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peer rankings, </w:t>
      </w:r>
      <w:r w:rsidR="009E6275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 xml:space="preserve">total return relative to the performance benchmark, and </w:t>
      </w:r>
      <w:r w:rsidR="009E6275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>cash flow activity—are presented below</w:t>
      </w:r>
      <w:r w:rsidR="003554A7">
        <w:rPr>
          <w:rFonts w:ascii="Times New Roman" w:hAnsi="Times New Roman" w:cs="Times New Roman"/>
          <w:sz w:val="24"/>
          <w:szCs w:val="24"/>
        </w:rPr>
        <w:t xml:space="preserve"> to provide a holistic view of e</w:t>
      </w:r>
      <w:r>
        <w:rPr>
          <w:rFonts w:ascii="Times New Roman" w:hAnsi="Times New Roman" w:cs="Times New Roman"/>
          <w:sz w:val="24"/>
          <w:szCs w:val="24"/>
        </w:rPr>
        <w:t>ndowment</w:t>
      </w:r>
      <w:r w:rsidR="003554A7">
        <w:rPr>
          <w:rFonts w:ascii="Times New Roman" w:hAnsi="Times New Roman" w:cs="Times New Roman"/>
          <w:sz w:val="24"/>
          <w:szCs w:val="24"/>
        </w:rPr>
        <w:t xml:space="preserve"> p</w:t>
      </w:r>
      <w:r w:rsidR="00EB4E4A">
        <w:rPr>
          <w:rFonts w:ascii="Times New Roman" w:hAnsi="Times New Roman" w:cs="Times New Roman"/>
          <w:sz w:val="24"/>
          <w:szCs w:val="24"/>
        </w:rPr>
        <w:t>ool</w:t>
      </w:r>
      <w:r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14:paraId="41097F8E" w14:textId="6DE9C572" w:rsidR="009E6275" w:rsidRPr="009E6275" w:rsidRDefault="009E6275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Total Return Relative to Spending and Inflation Rates</w:t>
      </w:r>
    </w:p>
    <w:p w14:paraId="25591537" w14:textId="1181FBD1" w:rsidR="00CA18DE" w:rsidRDefault="00256A52" w:rsidP="0095581D">
      <w:pPr>
        <w:rPr>
          <w:rFonts w:ascii="Times New Roman" w:hAnsi="Times New Roman" w:cs="Times New Roman"/>
          <w:sz w:val="24"/>
          <w:szCs w:val="24"/>
        </w:rPr>
      </w:pPr>
      <w:r w:rsidRPr="00F41052">
        <w:rPr>
          <w:rFonts w:ascii="Times New Roman" w:hAnsi="Times New Roman" w:cs="Times New Roman"/>
          <w:sz w:val="24"/>
          <w:szCs w:val="24"/>
        </w:rPr>
        <w:t>Foll</w:t>
      </w:r>
      <w:r w:rsidR="00F41052" w:rsidRPr="00F41052">
        <w:rPr>
          <w:rFonts w:ascii="Times New Roman" w:hAnsi="Times New Roman" w:cs="Times New Roman"/>
          <w:sz w:val="24"/>
          <w:szCs w:val="24"/>
        </w:rPr>
        <w:t xml:space="preserve">owing a two-year period of underperformance, </w:t>
      </w:r>
      <w:r w:rsidRPr="00F41052">
        <w:rPr>
          <w:rFonts w:ascii="Times New Roman" w:hAnsi="Times New Roman" w:cs="Times New Roman"/>
          <w:sz w:val="24"/>
          <w:szCs w:val="24"/>
        </w:rPr>
        <w:t xml:space="preserve">the </w:t>
      </w:r>
      <w:r w:rsidR="00DA1613" w:rsidRPr="00F41052">
        <w:rPr>
          <w:rFonts w:ascii="Times New Roman" w:hAnsi="Times New Roman" w:cs="Times New Roman"/>
          <w:sz w:val="24"/>
          <w:szCs w:val="24"/>
        </w:rPr>
        <w:t>e</w:t>
      </w:r>
      <w:r w:rsidR="00952311" w:rsidRPr="00F41052">
        <w:rPr>
          <w:rFonts w:ascii="Times New Roman" w:hAnsi="Times New Roman" w:cs="Times New Roman"/>
          <w:sz w:val="24"/>
          <w:szCs w:val="24"/>
        </w:rPr>
        <w:t xml:space="preserve">ndowment </w:t>
      </w:r>
      <w:r w:rsidR="00DA1613" w:rsidRPr="00F41052">
        <w:rPr>
          <w:rFonts w:ascii="Times New Roman" w:hAnsi="Times New Roman" w:cs="Times New Roman"/>
          <w:sz w:val="24"/>
          <w:szCs w:val="24"/>
        </w:rPr>
        <w:t>p</w:t>
      </w:r>
      <w:r w:rsidR="00A151AC" w:rsidRPr="00F41052">
        <w:rPr>
          <w:rFonts w:ascii="Times New Roman" w:hAnsi="Times New Roman" w:cs="Times New Roman"/>
          <w:sz w:val="24"/>
          <w:szCs w:val="24"/>
        </w:rPr>
        <w:t>ool</w:t>
      </w:r>
      <w:r w:rsidR="00952311" w:rsidRPr="00F41052">
        <w:rPr>
          <w:rFonts w:ascii="Times New Roman" w:hAnsi="Times New Roman" w:cs="Times New Roman"/>
          <w:sz w:val="24"/>
          <w:szCs w:val="24"/>
        </w:rPr>
        <w:t xml:space="preserve"> </w:t>
      </w:r>
      <w:r w:rsidR="00F41052" w:rsidRPr="00F41052">
        <w:rPr>
          <w:rFonts w:ascii="Times New Roman" w:hAnsi="Times New Roman" w:cs="Times New Roman"/>
          <w:sz w:val="24"/>
          <w:szCs w:val="24"/>
        </w:rPr>
        <w:t xml:space="preserve">rebounded in </w:t>
      </w:r>
      <w:proofErr w:type="spellStart"/>
      <w:r w:rsidR="00F41052" w:rsidRPr="00F41052">
        <w:rPr>
          <w:rFonts w:ascii="Times New Roman" w:hAnsi="Times New Roman" w:cs="Times New Roman"/>
          <w:sz w:val="24"/>
          <w:szCs w:val="24"/>
        </w:rPr>
        <w:t>FY21</w:t>
      </w:r>
      <w:proofErr w:type="spellEnd"/>
      <w:r w:rsidR="00F41052" w:rsidRPr="00F41052">
        <w:rPr>
          <w:rFonts w:ascii="Times New Roman" w:hAnsi="Times New Roman" w:cs="Times New Roman"/>
          <w:sz w:val="24"/>
          <w:szCs w:val="24"/>
        </w:rPr>
        <w:t xml:space="preserve">, outperforming </w:t>
      </w:r>
      <w:r w:rsidRPr="00F41052">
        <w:rPr>
          <w:rFonts w:ascii="Times New Roman" w:hAnsi="Times New Roman" w:cs="Times New Roman"/>
          <w:sz w:val="24"/>
          <w:szCs w:val="24"/>
        </w:rPr>
        <w:t>its hurdle rate</w:t>
      </w:r>
      <w:r w:rsidR="00F41052">
        <w:rPr>
          <w:rFonts w:ascii="Times New Roman" w:hAnsi="Times New Roman" w:cs="Times New Roman"/>
          <w:sz w:val="24"/>
          <w:szCs w:val="24"/>
        </w:rPr>
        <w:t xml:space="preserve"> by a significant margin</w:t>
      </w:r>
      <w:r w:rsidRPr="00F41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51AC" w:rsidRPr="00CD1D9B">
        <w:rPr>
          <w:rFonts w:ascii="Times New Roman" w:hAnsi="Times New Roman" w:cs="Times New Roman"/>
          <w:sz w:val="24"/>
          <w:szCs w:val="24"/>
        </w:rPr>
        <w:t>Annualized</w:t>
      </w:r>
      <w:r w:rsidR="00A151AC" w:rsidRPr="00A151AC">
        <w:rPr>
          <w:rFonts w:ascii="Times New Roman" w:hAnsi="Times New Roman" w:cs="Times New Roman"/>
          <w:sz w:val="24"/>
          <w:szCs w:val="24"/>
        </w:rPr>
        <w:t xml:space="preserve"> five year returns</w:t>
      </w:r>
      <w:r w:rsidR="00DF1782">
        <w:rPr>
          <w:rFonts w:ascii="Times New Roman" w:hAnsi="Times New Roman" w:cs="Times New Roman"/>
          <w:sz w:val="24"/>
          <w:szCs w:val="24"/>
        </w:rPr>
        <w:t xml:space="preserve"> for fiscal years 201</w:t>
      </w:r>
      <w:r w:rsidR="00F41052">
        <w:rPr>
          <w:rFonts w:ascii="Times New Roman" w:hAnsi="Times New Roman" w:cs="Times New Roman"/>
          <w:sz w:val="24"/>
          <w:szCs w:val="24"/>
        </w:rPr>
        <w:t>7</w:t>
      </w:r>
      <w:r w:rsidR="00DF1782">
        <w:rPr>
          <w:rFonts w:ascii="Times New Roman" w:hAnsi="Times New Roman" w:cs="Times New Roman"/>
          <w:sz w:val="24"/>
          <w:szCs w:val="24"/>
        </w:rPr>
        <w:t>-202</w:t>
      </w:r>
      <w:r w:rsidR="00F41052">
        <w:rPr>
          <w:rFonts w:ascii="Times New Roman" w:hAnsi="Times New Roman" w:cs="Times New Roman"/>
          <w:sz w:val="24"/>
          <w:szCs w:val="24"/>
        </w:rPr>
        <w:t>1</w:t>
      </w:r>
      <w:r w:rsidR="00A151AC" w:rsidRPr="00A151AC">
        <w:rPr>
          <w:rFonts w:ascii="Times New Roman" w:hAnsi="Times New Roman" w:cs="Times New Roman"/>
          <w:sz w:val="24"/>
          <w:szCs w:val="24"/>
        </w:rPr>
        <w:t xml:space="preserve"> are presented </w:t>
      </w:r>
      <w:r w:rsidR="00952311" w:rsidRPr="00917772">
        <w:rPr>
          <w:rFonts w:ascii="Times New Roman" w:hAnsi="Times New Roman" w:cs="Times New Roman"/>
          <w:sz w:val="24"/>
          <w:szCs w:val="24"/>
        </w:rPr>
        <w:t xml:space="preserve">relative to </w:t>
      </w:r>
      <w:r w:rsidR="00CA18DE" w:rsidRPr="00917772">
        <w:rPr>
          <w:rFonts w:ascii="Times New Roman" w:hAnsi="Times New Roman" w:cs="Times New Roman"/>
          <w:sz w:val="24"/>
          <w:szCs w:val="24"/>
        </w:rPr>
        <w:t>the effective spending rate and the consum</w:t>
      </w:r>
      <w:r w:rsidR="00B52922" w:rsidRPr="00917772">
        <w:rPr>
          <w:rFonts w:ascii="Times New Roman" w:hAnsi="Times New Roman" w:cs="Times New Roman"/>
          <w:sz w:val="24"/>
          <w:szCs w:val="24"/>
        </w:rPr>
        <w:t xml:space="preserve">er price index (CPI) in Figure </w:t>
      </w:r>
      <w:r w:rsidR="00657EB2">
        <w:rPr>
          <w:rFonts w:ascii="Times New Roman" w:hAnsi="Times New Roman" w:cs="Times New Roman"/>
          <w:sz w:val="24"/>
          <w:szCs w:val="24"/>
        </w:rPr>
        <w:t>6</w:t>
      </w:r>
      <w:r w:rsidR="00A32948">
        <w:rPr>
          <w:rFonts w:ascii="Times New Roman" w:hAnsi="Times New Roman" w:cs="Times New Roman"/>
          <w:sz w:val="24"/>
          <w:szCs w:val="24"/>
        </w:rPr>
        <w:t>.</w:t>
      </w:r>
      <w:r w:rsidR="00485D0C">
        <w:rPr>
          <w:rFonts w:ascii="Times New Roman" w:hAnsi="Times New Roman" w:cs="Times New Roman"/>
          <w:sz w:val="24"/>
          <w:szCs w:val="24"/>
        </w:rPr>
        <w:t xml:space="preserve"> </w:t>
      </w:r>
      <w:r w:rsidR="00A32948">
        <w:rPr>
          <w:rFonts w:ascii="Times New Roman" w:hAnsi="Times New Roman" w:cs="Times New Roman"/>
          <w:sz w:val="24"/>
          <w:szCs w:val="24"/>
        </w:rPr>
        <w:t xml:space="preserve"> </w:t>
      </w:r>
      <w:r w:rsidR="00DF1782">
        <w:rPr>
          <w:rFonts w:ascii="Times New Roman" w:hAnsi="Times New Roman" w:cs="Times New Roman"/>
          <w:sz w:val="24"/>
          <w:szCs w:val="24"/>
        </w:rPr>
        <w:t xml:space="preserve">The effective spending rate is inclusive of the administrative fee and calculated as a percentage of the year end endowment market value. </w:t>
      </w:r>
      <w:r w:rsidR="00F41052">
        <w:rPr>
          <w:rFonts w:ascii="Times New Roman" w:hAnsi="Times New Roman" w:cs="Times New Roman"/>
          <w:sz w:val="24"/>
          <w:szCs w:val="24"/>
        </w:rPr>
        <w:t xml:space="preserve">This comparison provides a medium-term assessment of whether endowment returns </w:t>
      </w:r>
      <w:r w:rsidR="004C0A87">
        <w:rPr>
          <w:rFonts w:ascii="Times New Roman" w:hAnsi="Times New Roman" w:cs="Times New Roman"/>
          <w:sz w:val="24"/>
          <w:szCs w:val="24"/>
        </w:rPr>
        <w:t xml:space="preserve">are sufficient to offset inflation and spending. If a period of sustained underperformance were to occur, consideration </w:t>
      </w:r>
      <w:r w:rsidR="00A32948">
        <w:rPr>
          <w:rFonts w:ascii="Times New Roman" w:hAnsi="Times New Roman" w:cs="Times New Roman"/>
          <w:sz w:val="24"/>
          <w:szCs w:val="24"/>
        </w:rPr>
        <w:t>w</w:t>
      </w:r>
      <w:r w:rsidR="004C0A87">
        <w:rPr>
          <w:rFonts w:ascii="Times New Roman" w:hAnsi="Times New Roman" w:cs="Times New Roman"/>
          <w:sz w:val="24"/>
          <w:szCs w:val="24"/>
        </w:rPr>
        <w:t>ould</w:t>
      </w:r>
      <w:r w:rsidR="00A32948">
        <w:rPr>
          <w:rFonts w:ascii="Times New Roman" w:hAnsi="Times New Roman" w:cs="Times New Roman"/>
          <w:sz w:val="24"/>
          <w:szCs w:val="24"/>
        </w:rPr>
        <w:t xml:space="preserve"> be given to whether adjustments to the asset allocation or spending rate are warranted.</w:t>
      </w:r>
    </w:p>
    <w:p w14:paraId="3EE99E79" w14:textId="6BD8B3AF" w:rsidR="00657EB2" w:rsidRDefault="00E1022B" w:rsidP="00E10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73721E88" w14:textId="77777777" w:rsidR="00A32948" w:rsidRDefault="00A32948" w:rsidP="00E1022B">
      <w:pPr>
        <w:rPr>
          <w:rFonts w:ascii="Times New Roman" w:hAnsi="Times New Roman" w:cs="Times New Roman"/>
          <w:b/>
          <w:sz w:val="24"/>
          <w:szCs w:val="24"/>
        </w:rPr>
      </w:pPr>
    </w:p>
    <w:p w14:paraId="27B5F221" w14:textId="77777777" w:rsidR="00657EB2" w:rsidRDefault="00657EB2" w:rsidP="00E1022B">
      <w:pPr>
        <w:rPr>
          <w:rFonts w:ascii="Times New Roman" w:hAnsi="Times New Roman" w:cs="Times New Roman"/>
          <w:b/>
          <w:sz w:val="24"/>
          <w:szCs w:val="24"/>
        </w:rPr>
      </w:pPr>
    </w:p>
    <w:p w14:paraId="3A81E088" w14:textId="77777777" w:rsidR="00A21063" w:rsidRDefault="00EE5F9E" w:rsidP="00BE6010">
      <w:pPr>
        <w:rPr>
          <w:rFonts w:ascii="Times New Roman" w:hAnsi="Times New Roman" w:cs="Times New Roman"/>
          <w:b/>
          <w:sz w:val="24"/>
          <w:szCs w:val="24"/>
        </w:rPr>
      </w:pPr>
      <w:r w:rsidRPr="009E627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E6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010">
        <w:rPr>
          <w:rFonts w:ascii="Times New Roman" w:hAnsi="Times New Roman" w:cs="Times New Roman"/>
          <w:b/>
          <w:sz w:val="24"/>
          <w:szCs w:val="24"/>
        </w:rPr>
        <w:tab/>
      </w:r>
      <w:r w:rsidR="000A3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B5F197" w14:textId="63A1352D" w:rsidR="00E84D90" w:rsidRPr="00E84D90" w:rsidRDefault="000A3FCE" w:rsidP="00A21063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97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EB2" w:rsidRPr="00D1427F">
        <w:rPr>
          <w:rFonts w:ascii="Times New Roman" w:hAnsi="Times New Roman" w:cs="Times New Roman"/>
          <w:b/>
          <w:sz w:val="24"/>
          <w:szCs w:val="24"/>
        </w:rPr>
        <w:t>Figure 6</w:t>
      </w:r>
      <w:r w:rsidR="00CB3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4CF9C" w14:textId="4255E59E" w:rsidR="00E84D90" w:rsidRPr="00917772" w:rsidRDefault="00ED49F1" w:rsidP="000562F9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56C14D" wp14:editId="0C028E1C">
            <wp:extent cx="4593535" cy="2743200"/>
            <wp:effectExtent l="0" t="0" r="1714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F64AB7" w14:textId="32F69E28" w:rsidR="009E6275" w:rsidRPr="009E6275" w:rsidRDefault="009E6275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Peer Rankings</w:t>
      </w:r>
    </w:p>
    <w:p w14:paraId="2DC6EF9A" w14:textId="58BDD9E0" w:rsidR="008C102D" w:rsidRDefault="007A054A" w:rsidP="008C102D">
      <w:pPr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7772">
        <w:rPr>
          <w:rFonts w:ascii="Times New Roman" w:hAnsi="Times New Roman" w:cs="Times New Roman"/>
          <w:sz w:val="24"/>
          <w:szCs w:val="24"/>
        </w:rPr>
        <w:t xml:space="preserve"> provides the most recent available</w:t>
      </w:r>
      <w:r>
        <w:rPr>
          <w:rFonts w:ascii="Times New Roman" w:hAnsi="Times New Roman" w:cs="Times New Roman"/>
          <w:sz w:val="24"/>
          <w:szCs w:val="24"/>
        </w:rPr>
        <w:t xml:space="preserve"> comparison—as of June 30, 2020</w:t>
      </w:r>
      <w:r w:rsidRPr="00917772">
        <w:rPr>
          <w:rFonts w:ascii="Times New Roman" w:hAnsi="Times New Roman" w:cs="Times New Roman"/>
          <w:sz w:val="24"/>
          <w:szCs w:val="24"/>
        </w:rPr>
        <w:t>—of the University Syst</w:t>
      </w:r>
      <w:r>
        <w:rPr>
          <w:rFonts w:ascii="Times New Roman" w:hAnsi="Times New Roman" w:cs="Times New Roman"/>
          <w:sz w:val="24"/>
          <w:szCs w:val="24"/>
        </w:rPr>
        <w:t>em e</w:t>
      </w:r>
      <w:r w:rsidRPr="00986199">
        <w:rPr>
          <w:rFonts w:ascii="Times New Roman" w:hAnsi="Times New Roman" w:cs="Times New Roman"/>
          <w:sz w:val="24"/>
          <w:szCs w:val="24"/>
        </w:rPr>
        <w:t xml:space="preserve">ndowment performance against peers. </w:t>
      </w:r>
      <w:r w:rsidR="00DA1613">
        <w:rPr>
          <w:rFonts w:ascii="Times New Roman" w:hAnsi="Times New Roman" w:cs="Times New Roman"/>
          <w:sz w:val="24"/>
          <w:szCs w:val="24"/>
        </w:rPr>
        <w:t>The University System e</w:t>
      </w:r>
      <w:r w:rsidR="00701379" w:rsidRPr="00917772">
        <w:rPr>
          <w:rFonts w:ascii="Times New Roman" w:hAnsi="Times New Roman" w:cs="Times New Roman"/>
          <w:sz w:val="24"/>
          <w:szCs w:val="24"/>
        </w:rPr>
        <w:t>ndowment</w:t>
      </w:r>
      <w:r>
        <w:rPr>
          <w:rFonts w:ascii="Times New Roman" w:hAnsi="Times New Roman" w:cs="Times New Roman"/>
          <w:sz w:val="24"/>
          <w:szCs w:val="24"/>
        </w:rPr>
        <w:t xml:space="preserve"> performed favorably over the 10-year pe</w:t>
      </w:r>
      <w:r w:rsidR="00CB3AA6">
        <w:rPr>
          <w:rFonts w:ascii="Times New Roman" w:hAnsi="Times New Roman" w:cs="Times New Roman"/>
          <w:sz w:val="24"/>
          <w:szCs w:val="24"/>
        </w:rPr>
        <w:t>riod</w:t>
      </w:r>
      <w:r>
        <w:rPr>
          <w:rFonts w:ascii="Times New Roman" w:hAnsi="Times New Roman" w:cs="Times New Roman"/>
          <w:sz w:val="24"/>
          <w:szCs w:val="24"/>
        </w:rPr>
        <w:t xml:space="preserve"> but lagged over shorter timeframes following negative performance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FY20</w:t>
      </w:r>
      <w:proofErr w:type="spellEnd"/>
      <w:r w:rsidR="007013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8943C3">
        <w:rPr>
          <w:rFonts w:ascii="Times New Roman" w:hAnsi="Times New Roman" w:cs="Times New Roman"/>
          <w:sz w:val="24"/>
          <w:szCs w:val="24"/>
        </w:rPr>
        <w:t>expect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3C3">
        <w:rPr>
          <w:rFonts w:ascii="Times New Roman" w:hAnsi="Times New Roman" w:cs="Times New Roman"/>
          <w:sz w:val="24"/>
          <w:szCs w:val="24"/>
        </w:rPr>
        <w:t xml:space="preserve">improvement in </w:t>
      </w:r>
      <w:r>
        <w:rPr>
          <w:rFonts w:ascii="Times New Roman" w:hAnsi="Times New Roman" w:cs="Times New Roman"/>
          <w:sz w:val="24"/>
          <w:szCs w:val="24"/>
        </w:rPr>
        <w:t xml:space="preserve">this comparison once </w:t>
      </w:r>
      <w:proofErr w:type="spellStart"/>
      <w:r>
        <w:rPr>
          <w:rFonts w:ascii="Times New Roman" w:hAnsi="Times New Roman" w:cs="Times New Roman"/>
          <w:sz w:val="24"/>
          <w:szCs w:val="24"/>
        </w:rPr>
        <w:t>FY21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figures are available.</w:t>
      </w:r>
    </w:p>
    <w:p w14:paraId="778C2898" w14:textId="56FE4F92" w:rsidR="008C102D" w:rsidRPr="008C102D" w:rsidRDefault="008C102D" w:rsidP="008C102D">
      <w:pPr>
        <w:rPr>
          <w:rFonts w:ascii="Times New Roman" w:hAnsi="Times New Roman" w:cs="Times New Roman"/>
          <w:b/>
          <w:sz w:val="24"/>
          <w:szCs w:val="24"/>
        </w:rPr>
      </w:pPr>
      <w:r w:rsidRPr="00F41115">
        <w:rPr>
          <w:rFonts w:ascii="Times New Roman" w:hAnsi="Times New Roman" w:cs="Times New Roman"/>
          <w:b/>
          <w:sz w:val="24"/>
          <w:szCs w:val="24"/>
        </w:rPr>
        <w:t>Figure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520"/>
        <w:gridCol w:w="1260"/>
        <w:gridCol w:w="1170"/>
        <w:gridCol w:w="1170"/>
        <w:gridCol w:w="1165"/>
      </w:tblGrid>
      <w:tr w:rsidR="008C102D" w:rsidRPr="00917772" w14:paraId="0C05F8F8" w14:textId="77777777" w:rsidTr="0023756E">
        <w:tc>
          <w:tcPr>
            <w:tcW w:w="5305" w:type="dxa"/>
            <w:gridSpan w:val="2"/>
            <w:shd w:val="clear" w:color="auto" w:fill="BFBFBF" w:themeFill="background1" w:themeFillShade="BF"/>
          </w:tcPr>
          <w:p w14:paraId="0BAEC072" w14:textId="77777777" w:rsidR="008C102D" w:rsidRPr="00917772" w:rsidRDefault="008C102D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4A197DF3" w14:textId="77777777" w:rsidR="008C102D" w:rsidRPr="00917772" w:rsidRDefault="008C102D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72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F01B762" w14:textId="77777777" w:rsidR="008C102D" w:rsidRPr="00917772" w:rsidRDefault="008C102D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72">
              <w:rPr>
                <w:rFonts w:ascii="Times New Roman" w:hAnsi="Times New Roman" w:cs="Times New Roman"/>
                <w:sz w:val="24"/>
                <w:szCs w:val="24"/>
              </w:rPr>
              <w:t>3 Year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FE4F7DB" w14:textId="77777777" w:rsidR="008C102D" w:rsidRPr="00917772" w:rsidRDefault="008C102D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72"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5E054A73" w14:textId="77777777" w:rsidR="008C102D" w:rsidRPr="00917772" w:rsidRDefault="008C102D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72"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8C102D" w:rsidRPr="00917772" w14:paraId="6626F953" w14:textId="77777777" w:rsidTr="0023756E">
        <w:tc>
          <w:tcPr>
            <w:tcW w:w="5305" w:type="dxa"/>
            <w:gridSpan w:val="2"/>
          </w:tcPr>
          <w:p w14:paraId="5C2CF7BE" w14:textId="77777777" w:rsidR="008C102D" w:rsidRPr="00917772" w:rsidRDefault="008C102D" w:rsidP="0023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72">
              <w:rPr>
                <w:rFonts w:ascii="Times New Roman" w:hAnsi="Times New Roman" w:cs="Times New Roman"/>
                <w:b/>
                <w:sz w:val="24"/>
                <w:szCs w:val="24"/>
              </w:rPr>
              <w:t>University System Endowment Return</w:t>
            </w:r>
          </w:p>
        </w:tc>
        <w:tc>
          <w:tcPr>
            <w:tcW w:w="1260" w:type="dxa"/>
          </w:tcPr>
          <w:p w14:paraId="44290FF6" w14:textId="6746EFBC" w:rsidR="008C102D" w:rsidRPr="00F41115" w:rsidRDefault="007A054A" w:rsidP="00E94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-0.3</w:t>
            </w:r>
            <w:r w:rsidR="008C102D" w:rsidRPr="00F411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76562555" w14:textId="564DA29F" w:rsidR="008C102D" w:rsidRPr="00F41115" w:rsidRDefault="007A054A" w:rsidP="00E94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8C102D" w:rsidRPr="00F411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61E32D55" w14:textId="4C735D6B" w:rsidR="008C102D" w:rsidRPr="00F41115" w:rsidRDefault="007A054A" w:rsidP="00E94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  <w:r w:rsidR="008C102D" w:rsidRPr="00F411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5" w:type="dxa"/>
          </w:tcPr>
          <w:p w14:paraId="634EEEAB" w14:textId="7129CB3C" w:rsidR="008C102D" w:rsidRPr="00F41115" w:rsidRDefault="007A054A" w:rsidP="00E94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  <w:r w:rsidR="008C102D" w:rsidRPr="00F411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C102D" w:rsidRPr="00917772" w14:paraId="435EAD2F" w14:textId="77777777" w:rsidTr="0023756E">
        <w:tc>
          <w:tcPr>
            <w:tcW w:w="2785" w:type="dxa"/>
            <w:vMerge w:val="restart"/>
          </w:tcPr>
          <w:p w14:paraId="0037D1E1" w14:textId="6BDA4F4F" w:rsidR="008C102D" w:rsidRPr="00917772" w:rsidRDefault="008C102D" w:rsidP="00FA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72">
              <w:rPr>
                <w:rFonts w:ascii="Times New Roman" w:hAnsi="Times New Roman" w:cs="Times New Roman"/>
                <w:i/>
                <w:sz w:val="24"/>
                <w:szCs w:val="24"/>
              </w:rPr>
              <w:t>NACUBO</w:t>
            </w:r>
            <w:proofErr w:type="spellEnd"/>
            <w:r w:rsidR="00FA26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Institutions $500 Million - $1 Billion</w:t>
            </w:r>
          </w:p>
        </w:tc>
        <w:tc>
          <w:tcPr>
            <w:tcW w:w="2520" w:type="dxa"/>
          </w:tcPr>
          <w:p w14:paraId="787B475A" w14:textId="04DF5F96" w:rsidR="008C102D" w:rsidRPr="00917772" w:rsidRDefault="008F6493" w:rsidP="008F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F64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02D" w:rsidRPr="00917772">
              <w:rPr>
                <w:rFonts w:ascii="Times New Roman" w:hAnsi="Times New Roman" w:cs="Times New Roman"/>
                <w:sz w:val="24"/>
                <w:szCs w:val="24"/>
              </w:rPr>
              <w:t>Percentile</w:t>
            </w:r>
          </w:p>
        </w:tc>
        <w:tc>
          <w:tcPr>
            <w:tcW w:w="1260" w:type="dxa"/>
          </w:tcPr>
          <w:p w14:paraId="2C6D44C1" w14:textId="0FFD0AE3" w:rsidR="008C102D" w:rsidRPr="00F41115" w:rsidRDefault="007A054A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76F3681E" w14:textId="4FB764FB" w:rsidR="008C102D" w:rsidRPr="00F41115" w:rsidRDefault="007A054A" w:rsidP="00F4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72EE3617" w14:textId="49915C31" w:rsidR="008C102D" w:rsidRPr="00F41115" w:rsidRDefault="008939DE" w:rsidP="008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6DE" w:rsidRPr="00F41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5" w:type="dxa"/>
          </w:tcPr>
          <w:p w14:paraId="379DFF7A" w14:textId="761100DC" w:rsidR="008C102D" w:rsidRPr="00F41115" w:rsidRDefault="007A054A" w:rsidP="008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102D" w:rsidRPr="00917772" w14:paraId="5FBC4344" w14:textId="77777777" w:rsidTr="0023756E">
        <w:tc>
          <w:tcPr>
            <w:tcW w:w="2785" w:type="dxa"/>
            <w:vMerge/>
          </w:tcPr>
          <w:p w14:paraId="2226B0F4" w14:textId="77777777" w:rsidR="008C102D" w:rsidRPr="00917772" w:rsidRDefault="008C102D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5F420E" w14:textId="77777777" w:rsidR="008C102D" w:rsidRPr="00917772" w:rsidRDefault="008C102D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72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260" w:type="dxa"/>
          </w:tcPr>
          <w:p w14:paraId="7E75DC83" w14:textId="5114D54A" w:rsidR="008C102D" w:rsidRPr="00F41115" w:rsidRDefault="007A054A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0A998E18" w14:textId="77930342" w:rsidR="008C102D" w:rsidRPr="00F41115" w:rsidRDefault="007A054A" w:rsidP="00F4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3FECF5FA" w14:textId="29D6E25B" w:rsidR="008C102D" w:rsidRPr="00F41115" w:rsidRDefault="008939DE" w:rsidP="008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6DE" w:rsidRPr="00F41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5" w:type="dxa"/>
          </w:tcPr>
          <w:p w14:paraId="00A547B3" w14:textId="0395BA46" w:rsidR="008C102D" w:rsidRPr="00F41115" w:rsidRDefault="007A054A" w:rsidP="008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102D" w:rsidRPr="00917772" w14:paraId="4A855149" w14:textId="77777777" w:rsidTr="0023756E">
        <w:tc>
          <w:tcPr>
            <w:tcW w:w="2785" w:type="dxa"/>
            <w:vMerge/>
          </w:tcPr>
          <w:p w14:paraId="546D6C1B" w14:textId="77777777" w:rsidR="008C102D" w:rsidRPr="00917772" w:rsidRDefault="008C102D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4D93C67" w14:textId="0862A210" w:rsidR="008C102D" w:rsidRPr="00917772" w:rsidRDefault="00D77366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02D" w:rsidRPr="00917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02D" w:rsidRPr="009177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C102D" w:rsidRPr="00917772">
              <w:rPr>
                <w:rFonts w:ascii="Times New Roman" w:hAnsi="Times New Roman" w:cs="Times New Roman"/>
                <w:sz w:val="24"/>
                <w:szCs w:val="24"/>
              </w:rPr>
              <w:t xml:space="preserve"> Percentile</w:t>
            </w:r>
          </w:p>
        </w:tc>
        <w:tc>
          <w:tcPr>
            <w:tcW w:w="1260" w:type="dxa"/>
          </w:tcPr>
          <w:p w14:paraId="1CEEE0CF" w14:textId="6CEBBAFD" w:rsidR="008C102D" w:rsidRPr="00F41115" w:rsidRDefault="007A054A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1333312E" w14:textId="50A4265D" w:rsidR="008C102D" w:rsidRPr="00F41115" w:rsidRDefault="007A054A" w:rsidP="00F4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2DF26C3B" w14:textId="79A34274" w:rsidR="008C102D" w:rsidRPr="00F41115" w:rsidRDefault="008939DE" w:rsidP="008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A0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5" w:type="dxa"/>
          </w:tcPr>
          <w:p w14:paraId="482EE7F4" w14:textId="380D30CD" w:rsidR="008C102D" w:rsidRPr="00F41115" w:rsidRDefault="007A054A" w:rsidP="008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8C102D" w:rsidRPr="00F4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051F501" w14:textId="77777777" w:rsidR="006C3DDA" w:rsidRDefault="006C3DDA">
      <w:pPr>
        <w:rPr>
          <w:rFonts w:ascii="Times New Roman" w:hAnsi="Times New Roman" w:cs="Times New Roman"/>
          <w:sz w:val="24"/>
          <w:szCs w:val="24"/>
        </w:rPr>
      </w:pPr>
    </w:p>
    <w:p w14:paraId="33AE10E9" w14:textId="023C7387" w:rsidR="009E6275" w:rsidRPr="009E6275" w:rsidRDefault="009E6275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Total Return Relative to Performance Benchmark</w:t>
      </w:r>
    </w:p>
    <w:p w14:paraId="3F1D29BA" w14:textId="1E97175E" w:rsidR="008C102D" w:rsidRDefault="006C3DDA">
      <w:pPr>
        <w:rPr>
          <w:rFonts w:ascii="Times New Roman" w:hAnsi="Times New Roman" w:cs="Times New Roman"/>
          <w:sz w:val="24"/>
          <w:szCs w:val="24"/>
        </w:rPr>
      </w:pPr>
      <w:r w:rsidRPr="008943C3">
        <w:rPr>
          <w:rFonts w:ascii="Times New Roman" w:hAnsi="Times New Roman" w:cs="Times New Roman"/>
          <w:sz w:val="24"/>
          <w:szCs w:val="24"/>
        </w:rPr>
        <w:t>T</w:t>
      </w:r>
      <w:r w:rsidR="00DA1613" w:rsidRPr="008943C3">
        <w:rPr>
          <w:rFonts w:ascii="Times New Roman" w:hAnsi="Times New Roman" w:cs="Times New Roman"/>
          <w:sz w:val="24"/>
          <w:szCs w:val="24"/>
        </w:rPr>
        <w:t>he e</w:t>
      </w:r>
      <w:r w:rsidR="00216524" w:rsidRPr="008943C3">
        <w:rPr>
          <w:rFonts w:ascii="Times New Roman" w:hAnsi="Times New Roman" w:cs="Times New Roman"/>
          <w:sz w:val="24"/>
          <w:szCs w:val="24"/>
        </w:rPr>
        <w:t xml:space="preserve">ndowment </w:t>
      </w:r>
      <w:r w:rsidR="007A054A" w:rsidRPr="008943C3">
        <w:rPr>
          <w:rFonts w:ascii="Times New Roman" w:hAnsi="Times New Roman" w:cs="Times New Roman"/>
          <w:sz w:val="24"/>
          <w:szCs w:val="24"/>
        </w:rPr>
        <w:t>outperformed i</w:t>
      </w:r>
      <w:r w:rsidR="00216524" w:rsidRPr="008943C3">
        <w:rPr>
          <w:rFonts w:ascii="Times New Roman" w:hAnsi="Times New Roman" w:cs="Times New Roman"/>
          <w:sz w:val="24"/>
          <w:szCs w:val="24"/>
        </w:rPr>
        <w:t xml:space="preserve">ts performance benchmark over </w:t>
      </w:r>
      <w:r w:rsidR="007A054A" w:rsidRPr="008943C3">
        <w:rPr>
          <w:rFonts w:ascii="Times New Roman" w:hAnsi="Times New Roman" w:cs="Times New Roman"/>
          <w:sz w:val="24"/>
          <w:szCs w:val="24"/>
        </w:rPr>
        <w:t>the one</w:t>
      </w:r>
      <w:r w:rsidR="008943C3">
        <w:rPr>
          <w:rFonts w:ascii="Times New Roman" w:hAnsi="Times New Roman" w:cs="Times New Roman"/>
          <w:sz w:val="24"/>
          <w:szCs w:val="24"/>
        </w:rPr>
        <w:t>-</w:t>
      </w:r>
      <w:r w:rsidR="007A054A" w:rsidRPr="008943C3">
        <w:rPr>
          <w:rFonts w:ascii="Times New Roman" w:hAnsi="Times New Roman" w:cs="Times New Roman"/>
          <w:sz w:val="24"/>
          <w:szCs w:val="24"/>
        </w:rPr>
        <w:t>year period but underperformed longer periods</w:t>
      </w:r>
      <w:r w:rsidR="00FA662F">
        <w:rPr>
          <w:rFonts w:ascii="Times New Roman" w:hAnsi="Times New Roman" w:cs="Times New Roman"/>
          <w:sz w:val="24"/>
          <w:szCs w:val="24"/>
        </w:rPr>
        <w:t>, which can largely be attributed to the fee drag of ~1% annually</w:t>
      </w:r>
      <w:r w:rsidR="008943C3">
        <w:rPr>
          <w:rFonts w:ascii="Times New Roman" w:hAnsi="Times New Roman" w:cs="Times New Roman"/>
          <w:sz w:val="24"/>
          <w:szCs w:val="24"/>
        </w:rPr>
        <w:t xml:space="preserve">. Recent outperformance can be attributed to U.S. public equity, fixed income, real </w:t>
      </w:r>
      <w:proofErr w:type="gramStart"/>
      <w:r w:rsidR="008943C3">
        <w:rPr>
          <w:rFonts w:ascii="Times New Roman" w:hAnsi="Times New Roman" w:cs="Times New Roman"/>
          <w:sz w:val="24"/>
          <w:szCs w:val="24"/>
        </w:rPr>
        <w:t>estate</w:t>
      </w:r>
      <w:proofErr w:type="gramEnd"/>
      <w:r w:rsidR="008943C3">
        <w:rPr>
          <w:rFonts w:ascii="Times New Roman" w:hAnsi="Times New Roman" w:cs="Times New Roman"/>
          <w:sz w:val="24"/>
          <w:szCs w:val="24"/>
        </w:rPr>
        <w:t xml:space="preserve"> and farmland. </w:t>
      </w:r>
      <w:r w:rsidR="007A054A" w:rsidRPr="008943C3">
        <w:rPr>
          <w:rFonts w:ascii="Times New Roman" w:hAnsi="Times New Roman" w:cs="Times New Roman"/>
          <w:sz w:val="24"/>
          <w:szCs w:val="24"/>
        </w:rPr>
        <w:t xml:space="preserve"> </w:t>
      </w:r>
      <w:r w:rsidR="008C102D" w:rsidRPr="008943C3">
        <w:rPr>
          <w:rFonts w:ascii="Times New Roman" w:hAnsi="Times New Roman" w:cs="Times New Roman"/>
          <w:sz w:val="24"/>
          <w:szCs w:val="24"/>
        </w:rPr>
        <w:t>The historical investm</w:t>
      </w:r>
      <w:r w:rsidR="00DA1613" w:rsidRPr="008943C3">
        <w:rPr>
          <w:rFonts w:ascii="Times New Roman" w:hAnsi="Times New Roman" w:cs="Times New Roman"/>
          <w:sz w:val="24"/>
          <w:szCs w:val="24"/>
        </w:rPr>
        <w:t>ent performance of the e</w:t>
      </w:r>
      <w:r w:rsidR="008C102D" w:rsidRPr="008943C3">
        <w:rPr>
          <w:rFonts w:ascii="Times New Roman" w:hAnsi="Times New Roman" w:cs="Times New Roman"/>
          <w:sz w:val="24"/>
          <w:szCs w:val="24"/>
        </w:rPr>
        <w:t>ndowment has been provided in Figure 8.</w:t>
      </w:r>
    </w:p>
    <w:p w14:paraId="2F634B35" w14:textId="77777777" w:rsidR="006C3DDA" w:rsidRDefault="006C3DDA" w:rsidP="006C3DDA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6E4442A" w14:textId="77777777" w:rsidR="006C3DDA" w:rsidRDefault="006C3DDA" w:rsidP="006C3DDA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7E6ED6B" w14:textId="77777777" w:rsidR="00386277" w:rsidRDefault="0016179F" w:rsidP="006C3DD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A3C00E" w14:textId="77777777" w:rsidR="00986199" w:rsidRDefault="00CB3AA6" w:rsidP="00CB3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90A55F9" w14:textId="77777777" w:rsidR="008943C3" w:rsidRDefault="00CB3AA6" w:rsidP="00CB3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4920C0" w14:textId="77777777" w:rsidR="008943C3" w:rsidRDefault="008943C3" w:rsidP="00CB3AA6">
      <w:pPr>
        <w:rPr>
          <w:rFonts w:ascii="Times New Roman" w:hAnsi="Times New Roman" w:cs="Times New Roman"/>
          <w:b/>
          <w:sz w:val="24"/>
          <w:szCs w:val="24"/>
        </w:rPr>
      </w:pPr>
    </w:p>
    <w:p w14:paraId="0B35E7F3" w14:textId="1C913273" w:rsidR="006C3DDA" w:rsidRPr="008C102D" w:rsidRDefault="00657EB2" w:rsidP="00CB3AA6">
      <w:pPr>
        <w:rPr>
          <w:rFonts w:ascii="Times New Roman" w:hAnsi="Times New Roman" w:cs="Times New Roman"/>
          <w:b/>
          <w:sz w:val="24"/>
          <w:szCs w:val="24"/>
        </w:rPr>
      </w:pPr>
      <w:r w:rsidRPr="009E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02D" w:rsidRPr="008943C3">
        <w:rPr>
          <w:rFonts w:ascii="Times New Roman" w:hAnsi="Times New Roman" w:cs="Times New Roman"/>
          <w:b/>
          <w:sz w:val="24"/>
          <w:szCs w:val="24"/>
        </w:rPr>
        <w:t>Figure 8</w:t>
      </w:r>
      <w:r w:rsidR="00CB3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CC7375" w14:textId="672BD2BA" w:rsidR="008C102D" w:rsidRDefault="00BF7115" w:rsidP="001617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4009A2" wp14:editId="083C6DB9">
            <wp:extent cx="6329363" cy="2424113"/>
            <wp:effectExtent l="0" t="0" r="14605" b="1460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8CE89DF" w14:textId="13F9090D" w:rsidR="00865A66" w:rsidRDefault="00865A66" w:rsidP="001617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882D0D" w14:textId="5C456DB9" w:rsidR="009E6275" w:rsidRPr="009E6275" w:rsidRDefault="009E6275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Cash Flow Activity</w:t>
      </w:r>
    </w:p>
    <w:p w14:paraId="53DD04E6" w14:textId="28CA6EDB" w:rsidR="00865A66" w:rsidRDefault="00DA1613" w:rsidP="00D64B0C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endowment p</w:t>
      </w:r>
      <w:r w:rsidR="00C96869">
        <w:rPr>
          <w:rFonts w:ascii="Times New Roman" w:hAnsi="Times New Roman" w:cs="Times New Roman"/>
          <w:sz w:val="24"/>
          <w:szCs w:val="24"/>
        </w:rPr>
        <w:t>ool</w:t>
      </w:r>
      <w:r w:rsidR="007A054A">
        <w:rPr>
          <w:rFonts w:ascii="Times New Roman" w:hAnsi="Times New Roman" w:cs="Times New Roman"/>
          <w:sz w:val="24"/>
          <w:szCs w:val="24"/>
        </w:rPr>
        <w:t xml:space="preserve"> balance</w:t>
      </w:r>
      <w:r w:rsidR="00C96869">
        <w:rPr>
          <w:rFonts w:ascii="Times New Roman" w:hAnsi="Times New Roman" w:cs="Times New Roman"/>
          <w:sz w:val="24"/>
          <w:szCs w:val="24"/>
        </w:rPr>
        <w:t xml:space="preserve"> is impacted </w:t>
      </w:r>
      <w:r w:rsidR="00015A18">
        <w:rPr>
          <w:rFonts w:ascii="Times New Roman" w:hAnsi="Times New Roman" w:cs="Times New Roman"/>
          <w:sz w:val="24"/>
          <w:szCs w:val="24"/>
        </w:rPr>
        <w:t>by three factors—net additions</w:t>
      </w:r>
      <w:r w:rsidR="00D64B0C">
        <w:rPr>
          <w:rFonts w:ascii="Times New Roman" w:hAnsi="Times New Roman" w:cs="Times New Roman"/>
          <w:sz w:val="24"/>
          <w:szCs w:val="24"/>
        </w:rPr>
        <w:t>,</w:t>
      </w:r>
      <w:r w:rsidR="00470B2F">
        <w:rPr>
          <w:rFonts w:ascii="Times New Roman" w:hAnsi="Times New Roman" w:cs="Times New Roman"/>
          <w:sz w:val="24"/>
          <w:szCs w:val="24"/>
        </w:rPr>
        <w:t xml:space="preserve"> the</w:t>
      </w:r>
      <w:r w:rsidR="00D64B0C">
        <w:rPr>
          <w:rFonts w:ascii="Times New Roman" w:hAnsi="Times New Roman" w:cs="Times New Roman"/>
          <w:sz w:val="24"/>
          <w:szCs w:val="24"/>
        </w:rPr>
        <w:t xml:space="preserve"> spending distribution</w:t>
      </w:r>
      <w:r w:rsidR="00FA662F">
        <w:rPr>
          <w:rFonts w:ascii="Times New Roman" w:hAnsi="Times New Roman" w:cs="Times New Roman"/>
          <w:sz w:val="24"/>
          <w:szCs w:val="24"/>
        </w:rPr>
        <w:t>,</w:t>
      </w:r>
      <w:r w:rsidR="00C96869">
        <w:rPr>
          <w:rFonts w:ascii="Times New Roman" w:hAnsi="Times New Roman" w:cs="Times New Roman"/>
          <w:sz w:val="24"/>
          <w:szCs w:val="24"/>
        </w:rPr>
        <w:t xml:space="preserve"> </w:t>
      </w:r>
      <w:r w:rsidR="00D7058A">
        <w:rPr>
          <w:rFonts w:ascii="Times New Roman" w:hAnsi="Times New Roman" w:cs="Times New Roman"/>
          <w:sz w:val="24"/>
          <w:szCs w:val="24"/>
        </w:rPr>
        <w:t>and capital appreciation</w:t>
      </w:r>
      <w:r w:rsidR="00C96869">
        <w:rPr>
          <w:rFonts w:ascii="Times New Roman" w:hAnsi="Times New Roman" w:cs="Times New Roman"/>
          <w:sz w:val="24"/>
          <w:szCs w:val="24"/>
        </w:rPr>
        <w:t xml:space="preserve">. The impact of </w:t>
      </w:r>
      <w:r w:rsidR="00485D0C">
        <w:rPr>
          <w:rFonts w:ascii="Times New Roman" w:hAnsi="Times New Roman" w:cs="Times New Roman"/>
          <w:sz w:val="24"/>
          <w:szCs w:val="24"/>
        </w:rPr>
        <w:t>these</w:t>
      </w:r>
      <w:r w:rsidR="00C96869">
        <w:rPr>
          <w:rFonts w:ascii="Times New Roman" w:hAnsi="Times New Roman" w:cs="Times New Roman"/>
          <w:sz w:val="24"/>
          <w:szCs w:val="24"/>
        </w:rPr>
        <w:t xml:space="preserve"> factors over a </w:t>
      </w:r>
      <w:proofErr w:type="gramStart"/>
      <w:r w:rsidR="00C96869">
        <w:rPr>
          <w:rFonts w:ascii="Times New Roman" w:hAnsi="Times New Roman" w:cs="Times New Roman"/>
          <w:sz w:val="24"/>
          <w:szCs w:val="24"/>
        </w:rPr>
        <w:t>ten year</w:t>
      </w:r>
      <w:proofErr w:type="gramEnd"/>
      <w:r w:rsidR="00C96869">
        <w:rPr>
          <w:rFonts w:ascii="Times New Roman" w:hAnsi="Times New Roman" w:cs="Times New Roman"/>
          <w:sz w:val="24"/>
          <w:szCs w:val="24"/>
        </w:rPr>
        <w:t xml:space="preserve"> period as of </w:t>
      </w:r>
      <w:r w:rsidR="00986199">
        <w:rPr>
          <w:rFonts w:ascii="Times New Roman" w:hAnsi="Times New Roman" w:cs="Times New Roman"/>
          <w:sz w:val="24"/>
          <w:szCs w:val="24"/>
        </w:rPr>
        <w:t>June 30, 20</w:t>
      </w:r>
      <w:r w:rsidR="00BF7115">
        <w:rPr>
          <w:rFonts w:ascii="Times New Roman" w:hAnsi="Times New Roman" w:cs="Times New Roman"/>
          <w:sz w:val="24"/>
          <w:szCs w:val="24"/>
        </w:rPr>
        <w:t>2</w:t>
      </w:r>
      <w:r w:rsidR="007A054A">
        <w:rPr>
          <w:rFonts w:ascii="Times New Roman" w:hAnsi="Times New Roman" w:cs="Times New Roman"/>
          <w:sz w:val="24"/>
          <w:szCs w:val="24"/>
        </w:rPr>
        <w:t>1</w:t>
      </w:r>
      <w:r w:rsidR="00C96869" w:rsidRPr="00CD1D9B">
        <w:rPr>
          <w:rFonts w:ascii="Times New Roman" w:hAnsi="Times New Roman" w:cs="Times New Roman"/>
          <w:sz w:val="24"/>
          <w:szCs w:val="24"/>
        </w:rPr>
        <w:t>, is summarized</w:t>
      </w:r>
      <w:r w:rsidR="00490825">
        <w:rPr>
          <w:rFonts w:ascii="Times New Roman" w:hAnsi="Times New Roman" w:cs="Times New Roman"/>
          <w:sz w:val="24"/>
          <w:szCs w:val="24"/>
        </w:rPr>
        <w:t xml:space="preserve"> exclusive of the </w:t>
      </w:r>
      <w:r w:rsidR="00485D0C">
        <w:rPr>
          <w:rFonts w:ascii="Times New Roman" w:hAnsi="Times New Roman" w:cs="Times New Roman"/>
          <w:sz w:val="24"/>
          <w:szCs w:val="24"/>
        </w:rPr>
        <w:t>permanent core allocation</w:t>
      </w:r>
      <w:r w:rsidR="00C96869">
        <w:rPr>
          <w:rFonts w:ascii="Times New Roman" w:hAnsi="Times New Roman" w:cs="Times New Roman"/>
          <w:sz w:val="24"/>
          <w:szCs w:val="24"/>
        </w:rPr>
        <w:t xml:space="preserve"> in Figure 9.</w:t>
      </w:r>
      <w:r w:rsidR="0001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1BD6C" w14:textId="02CF9944" w:rsidR="002867BA" w:rsidRDefault="00714CE6">
      <w:pPr>
        <w:rPr>
          <w:rFonts w:ascii="Times New Roman" w:hAnsi="Times New Roman" w:cs="Times New Roman"/>
          <w:b/>
          <w:sz w:val="24"/>
          <w:szCs w:val="24"/>
        </w:rPr>
      </w:pPr>
      <w:r w:rsidRPr="009E627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E5F9E" w:rsidRPr="009E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869" w:rsidRPr="00715B10">
        <w:rPr>
          <w:rFonts w:ascii="Times New Roman" w:hAnsi="Times New Roman" w:cs="Times New Roman"/>
          <w:b/>
          <w:sz w:val="24"/>
          <w:szCs w:val="24"/>
        </w:rPr>
        <w:t>Figure 9</w:t>
      </w:r>
    </w:p>
    <w:tbl>
      <w:tblPr>
        <w:tblW w:w="7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2799"/>
      </w:tblGrid>
      <w:tr w:rsidR="00D64B0C" w:rsidRPr="00D64B0C" w14:paraId="2C689D7A" w14:textId="77777777" w:rsidTr="00D64B0C">
        <w:trPr>
          <w:trHeight w:val="315"/>
          <w:jc w:val="center"/>
        </w:trPr>
        <w:tc>
          <w:tcPr>
            <w:tcW w:w="7328" w:type="dxa"/>
            <w:gridSpan w:val="2"/>
            <w:shd w:val="clear" w:color="auto" w:fill="auto"/>
            <w:noWrap/>
            <w:hideMark/>
          </w:tcPr>
          <w:p w14:paraId="1999629B" w14:textId="3E5F16A1" w:rsidR="00D64B0C" w:rsidRPr="00D64B0C" w:rsidRDefault="00D64B0C" w:rsidP="000A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Summary of Endowment Pool Activity </w:t>
            </w:r>
            <w:proofErr w:type="spellStart"/>
            <w:r w:rsidR="00AC50BD" w:rsidRPr="00AC5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FY1</w:t>
            </w:r>
            <w:r w:rsidR="00C3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6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A3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FY2</w:t>
            </w:r>
            <w:r w:rsidR="00C3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spellEnd"/>
          </w:p>
        </w:tc>
      </w:tr>
      <w:tr w:rsidR="00D64B0C" w:rsidRPr="00D64B0C" w14:paraId="4D4BD5BD" w14:textId="77777777" w:rsidTr="00D64B0C">
        <w:trPr>
          <w:trHeight w:val="300"/>
          <w:jc w:val="center"/>
        </w:trPr>
        <w:tc>
          <w:tcPr>
            <w:tcW w:w="7328" w:type="dxa"/>
            <w:gridSpan w:val="2"/>
            <w:shd w:val="clear" w:color="auto" w:fill="auto"/>
            <w:noWrap/>
            <w:hideMark/>
          </w:tcPr>
          <w:p w14:paraId="446E0F40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figures in millions</w:t>
            </w:r>
          </w:p>
        </w:tc>
      </w:tr>
      <w:tr w:rsidR="00D64B0C" w:rsidRPr="00D64B0C" w14:paraId="2075C70D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14:paraId="7153A0C1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04AF7F0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4B0C" w:rsidRPr="00D64B0C" w14:paraId="3C73F614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14:paraId="61620162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07DBE745" w14:textId="2D8E1819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Ten Year</w:t>
            </w:r>
            <w:r w:rsidRPr="00D64B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Totals</w:t>
            </w:r>
          </w:p>
        </w:tc>
      </w:tr>
      <w:tr w:rsidR="00D64B0C" w:rsidRPr="00D64B0C" w14:paraId="60225055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14:paraId="47B440B2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922C7ED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4B0C" w:rsidRPr="00D64B0C" w14:paraId="7DB98306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hideMark/>
          </w:tcPr>
          <w:p w14:paraId="1F70BF96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Beginning Balance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4372AB91" w14:textId="5D08AE06" w:rsidR="00D64B0C" w:rsidRPr="00D64B0C" w:rsidRDefault="00061A44" w:rsidP="0006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F1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F1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64B0C" w:rsidRPr="00D64B0C" w14:paraId="13C12805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14:paraId="50E47E95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8D8E847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4B0C" w:rsidRPr="00D64B0C" w14:paraId="110D8ABB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hideMark/>
          </w:tcPr>
          <w:p w14:paraId="7428F6B8" w14:textId="77777777" w:rsidR="00D64B0C" w:rsidRPr="00D64B0C" w:rsidRDefault="00D64B0C" w:rsidP="00D6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Net Additions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628DE5CE" w14:textId="4BC83E00" w:rsidR="00D64B0C" w:rsidRPr="00D64B0C" w:rsidRDefault="0068575C" w:rsidP="0006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061A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61A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4B0C" w:rsidRPr="00D64B0C" w14:paraId="0E4E9E76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14:paraId="4F8FEC7E" w14:textId="77777777" w:rsidR="00D64B0C" w:rsidRPr="00D64B0C" w:rsidRDefault="00D64B0C" w:rsidP="00D6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F707F54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4B0C" w:rsidRPr="00D64B0C" w14:paraId="07FEC26C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hideMark/>
          </w:tcPr>
          <w:p w14:paraId="1056B0DB" w14:textId="65DF58D6" w:rsidR="00D64B0C" w:rsidRPr="00D64B0C" w:rsidRDefault="00D64B0C" w:rsidP="0097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6EEF">
              <w:rPr>
                <w:rFonts w:ascii="Times New Roman" w:eastAsia="Times New Roman" w:hAnsi="Times New Roman" w:cs="Times New Roman"/>
                <w:sz w:val="20"/>
                <w:szCs w:val="20"/>
              </w:rPr>
              <w:t>Distributions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68CB8105" w14:textId="0515E8E5" w:rsidR="00D64B0C" w:rsidRPr="00D64B0C" w:rsidRDefault="00976EEF" w:rsidP="0006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061A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61A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4B0C" w:rsidRPr="00D64B0C" w14:paraId="5A009098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14:paraId="537556F1" w14:textId="77777777" w:rsidR="00D64B0C" w:rsidRPr="00D64B0C" w:rsidRDefault="00D64B0C" w:rsidP="00D6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7952DBF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4B0C" w:rsidRPr="00D64B0C" w14:paraId="0D4BD183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hideMark/>
          </w:tcPr>
          <w:p w14:paraId="62B80FDA" w14:textId="437D3222" w:rsidR="00D64B0C" w:rsidRPr="00D64B0C" w:rsidRDefault="00D7058A" w:rsidP="00D6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Capital Appreciation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4A4508F8" w14:textId="5676F9F9" w:rsidR="00D64B0C" w:rsidRPr="00D64B0C" w:rsidRDefault="00061A44" w:rsidP="0010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  <w:r w:rsidR="006857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435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4B0C" w:rsidRPr="00D64B0C" w14:paraId="677AC0B8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vAlign w:val="bottom"/>
            <w:hideMark/>
          </w:tcPr>
          <w:p w14:paraId="30B1497C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C5CEB0C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4B0C" w:rsidRPr="00D64B0C" w14:paraId="0019F6F4" w14:textId="77777777" w:rsidTr="00D64B0C">
        <w:trPr>
          <w:trHeight w:val="300"/>
          <w:jc w:val="center"/>
        </w:trPr>
        <w:tc>
          <w:tcPr>
            <w:tcW w:w="4529" w:type="dxa"/>
            <w:shd w:val="clear" w:color="auto" w:fill="auto"/>
            <w:noWrap/>
            <w:hideMark/>
          </w:tcPr>
          <w:p w14:paraId="6B4048B4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Ending Balance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1C3216E1" w14:textId="6BBED865" w:rsidR="00D64B0C" w:rsidRPr="00D64B0C" w:rsidRDefault="00061A44" w:rsidP="0006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</w:t>
            </w:r>
            <w:r w:rsidR="00AC5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B43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3A3A38BF" w14:textId="77777777" w:rsidR="00C96869" w:rsidRPr="00C96869" w:rsidRDefault="00C96869">
      <w:pPr>
        <w:rPr>
          <w:rFonts w:ascii="Times New Roman" w:hAnsi="Times New Roman" w:cs="Times New Roman"/>
          <w:b/>
          <w:sz w:val="24"/>
          <w:szCs w:val="24"/>
        </w:rPr>
      </w:pPr>
    </w:p>
    <w:p w14:paraId="2C52C592" w14:textId="767C2A8C" w:rsidR="00015C23" w:rsidRPr="00925665" w:rsidRDefault="00375255" w:rsidP="009256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772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2867BA" w:rsidRPr="00925665">
        <w:rPr>
          <w:rFonts w:ascii="Times New Roman" w:hAnsi="Times New Roman" w:cs="Times New Roman"/>
          <w:b/>
          <w:sz w:val="32"/>
          <w:szCs w:val="32"/>
        </w:rPr>
        <w:lastRenderedPageBreak/>
        <w:t>Operating Pool</w:t>
      </w:r>
    </w:p>
    <w:p w14:paraId="273BB44F" w14:textId="7B478F55" w:rsidR="00925665" w:rsidRPr="00925665" w:rsidRDefault="00925665" w:rsidP="00925665">
      <w:pPr>
        <w:keepNext/>
        <w:framePr w:dropCap="drop" w:lines="2" w:wrap="around" w:vAnchor="text" w:hAnchor="text"/>
        <w:spacing w:after="0" w:line="595" w:lineRule="exact"/>
        <w:textAlignment w:val="baseline"/>
        <w:rPr>
          <w:rFonts w:ascii="Times New Roman" w:hAnsi="Times New Roman" w:cs="Times New Roman"/>
          <w:position w:val="-5"/>
          <w:sz w:val="73"/>
          <w:szCs w:val="24"/>
        </w:rPr>
      </w:pPr>
      <w:r w:rsidRPr="00925665">
        <w:rPr>
          <w:rFonts w:ascii="Times New Roman" w:hAnsi="Times New Roman" w:cs="Times New Roman"/>
          <w:position w:val="-5"/>
          <w:sz w:val="73"/>
          <w:szCs w:val="24"/>
        </w:rPr>
        <w:t>T</w:t>
      </w:r>
    </w:p>
    <w:p w14:paraId="54F6E26D" w14:textId="5555ED53" w:rsidR="003B4B3F" w:rsidRPr="00917772" w:rsidRDefault="003114AA" w:rsidP="0092566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he </w:t>
      </w:r>
      <w:r w:rsidRPr="00917772">
        <w:rPr>
          <w:rFonts w:ascii="Times New Roman" w:hAnsi="Times New Roman" w:cs="Times New Roman"/>
          <w:i/>
          <w:sz w:val="24"/>
          <w:szCs w:val="24"/>
        </w:rPr>
        <w:t>Operating Pool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DF3F59" w:rsidRPr="00917772">
        <w:rPr>
          <w:rFonts w:ascii="Times New Roman" w:hAnsi="Times New Roman" w:cs="Times New Roman"/>
          <w:sz w:val="24"/>
          <w:szCs w:val="24"/>
        </w:rPr>
        <w:t>(</w:t>
      </w:r>
      <w:r w:rsidR="00BB08CA" w:rsidRPr="00917772">
        <w:rPr>
          <w:rFonts w:ascii="Times New Roman" w:hAnsi="Times New Roman" w:cs="Times New Roman"/>
          <w:sz w:val="24"/>
          <w:szCs w:val="24"/>
        </w:rPr>
        <w:t xml:space="preserve">market </w:t>
      </w:r>
      <w:r w:rsidR="00BB08CA" w:rsidRPr="005F684D">
        <w:rPr>
          <w:rFonts w:ascii="Times New Roman" w:hAnsi="Times New Roman" w:cs="Times New Roman"/>
          <w:sz w:val="24"/>
          <w:szCs w:val="24"/>
        </w:rPr>
        <w:t>value</w:t>
      </w:r>
      <w:r w:rsidR="00907C62" w:rsidRP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D0515A" w:rsidRPr="008943C3">
        <w:rPr>
          <w:rFonts w:ascii="Times New Roman" w:hAnsi="Times New Roman" w:cs="Times New Roman"/>
          <w:sz w:val="24"/>
          <w:szCs w:val="24"/>
        </w:rPr>
        <w:t>$2.</w:t>
      </w:r>
      <w:r w:rsidR="008943C3" w:rsidRPr="008943C3">
        <w:rPr>
          <w:rFonts w:ascii="Times New Roman" w:hAnsi="Times New Roman" w:cs="Times New Roman"/>
          <w:sz w:val="24"/>
          <w:szCs w:val="24"/>
        </w:rPr>
        <w:t>8</w:t>
      </w:r>
      <w:r w:rsidR="00D0515A" w:rsidRPr="008943C3">
        <w:rPr>
          <w:rFonts w:ascii="Times New Roman" w:hAnsi="Times New Roman" w:cs="Times New Roman"/>
          <w:sz w:val="24"/>
          <w:szCs w:val="24"/>
        </w:rPr>
        <w:t>2</w:t>
      </w:r>
      <w:r w:rsidR="005251CC" w:rsidRPr="008943C3">
        <w:rPr>
          <w:rFonts w:ascii="Times New Roman" w:hAnsi="Times New Roman" w:cs="Times New Roman"/>
          <w:sz w:val="24"/>
          <w:szCs w:val="24"/>
        </w:rPr>
        <w:t xml:space="preserve"> billion</w:t>
      </w:r>
      <w:r w:rsidR="00DF3F59" w:rsidRPr="005F684D">
        <w:rPr>
          <w:rFonts w:ascii="Times New Roman" w:hAnsi="Times New Roman" w:cs="Times New Roman"/>
          <w:sz w:val="24"/>
          <w:szCs w:val="24"/>
        </w:rPr>
        <w:t>)</w:t>
      </w:r>
      <w:r w:rsidR="00DF3F59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Pr="00917772">
        <w:rPr>
          <w:rFonts w:ascii="Times New Roman" w:hAnsi="Times New Roman" w:cs="Times New Roman"/>
          <w:sz w:val="24"/>
          <w:szCs w:val="24"/>
        </w:rPr>
        <w:t>consists of funds available for</w:t>
      </w:r>
      <w:r w:rsidR="00D84095" w:rsidRPr="00917772">
        <w:rPr>
          <w:rFonts w:ascii="Times New Roman" w:hAnsi="Times New Roman" w:cs="Times New Roman"/>
          <w:sz w:val="24"/>
          <w:szCs w:val="24"/>
        </w:rPr>
        <w:t xml:space="preserve"> current use</w:t>
      </w:r>
      <w:r w:rsidR="00ED1E6D" w:rsidRPr="00917772">
        <w:rPr>
          <w:rFonts w:ascii="Times New Roman" w:hAnsi="Times New Roman" w:cs="Times New Roman"/>
          <w:sz w:val="24"/>
          <w:szCs w:val="24"/>
        </w:rPr>
        <w:t xml:space="preserve"> by academic and administrativ</w:t>
      </w:r>
      <w:r w:rsidR="003554A7">
        <w:rPr>
          <w:rFonts w:ascii="Times New Roman" w:hAnsi="Times New Roman" w:cs="Times New Roman"/>
          <w:sz w:val="24"/>
          <w:szCs w:val="24"/>
        </w:rPr>
        <w:t>e units within the System. The p</w:t>
      </w:r>
      <w:r w:rsidR="00ED1E6D" w:rsidRPr="00917772">
        <w:rPr>
          <w:rFonts w:ascii="Times New Roman" w:hAnsi="Times New Roman" w:cs="Times New Roman"/>
          <w:sz w:val="24"/>
          <w:szCs w:val="24"/>
        </w:rPr>
        <w:t>ool includes cash from state appropriations, tuition and fees, student loan funds, grants</w:t>
      </w:r>
      <w:r w:rsidR="00E04838" w:rsidRPr="00917772">
        <w:rPr>
          <w:rFonts w:ascii="Times New Roman" w:hAnsi="Times New Roman" w:cs="Times New Roman"/>
          <w:sz w:val="24"/>
          <w:szCs w:val="24"/>
        </w:rPr>
        <w:t>,</w:t>
      </w:r>
      <w:r w:rsidR="00ED1E6D" w:rsidRPr="00917772">
        <w:rPr>
          <w:rFonts w:ascii="Times New Roman" w:hAnsi="Times New Roman" w:cs="Times New Roman"/>
          <w:sz w:val="24"/>
          <w:szCs w:val="24"/>
        </w:rPr>
        <w:t xml:space="preserve"> self-insurance programs, and hospital and auxiliary services</w:t>
      </w:r>
      <w:r w:rsidRPr="00917772">
        <w:rPr>
          <w:rFonts w:ascii="Times New Roman" w:hAnsi="Times New Roman" w:cs="Times New Roman"/>
          <w:sz w:val="24"/>
          <w:szCs w:val="24"/>
        </w:rPr>
        <w:t>. The consolidated management of funds provides robust tracking and effic</w:t>
      </w:r>
      <w:r w:rsidR="00DD3F6E" w:rsidRPr="00917772">
        <w:rPr>
          <w:rFonts w:ascii="Times New Roman" w:hAnsi="Times New Roman" w:cs="Times New Roman"/>
          <w:sz w:val="24"/>
          <w:szCs w:val="24"/>
        </w:rPr>
        <w:t>ient investment management.</w:t>
      </w:r>
      <w:r w:rsidR="00ED1E6D" w:rsidRPr="00917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4B250" w14:textId="7571569C" w:rsidR="00015C23" w:rsidRDefault="00B051D5" w:rsidP="0092566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The investment objective for the </w:t>
      </w:r>
      <w:r w:rsidR="003554A7">
        <w:rPr>
          <w:rFonts w:ascii="Times New Roman" w:hAnsi="Times New Roman" w:cs="Times New Roman"/>
          <w:sz w:val="24"/>
          <w:szCs w:val="24"/>
        </w:rPr>
        <w:t>operating pool</w:t>
      </w:r>
      <w:r w:rsidR="007E1DC6"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DC6" w:rsidRPr="00917772">
        <w:rPr>
          <w:rFonts w:ascii="Times New Roman" w:hAnsi="Times New Roman" w:cs="Times New Roman"/>
          <w:sz w:val="24"/>
          <w:szCs w:val="24"/>
        </w:rPr>
        <w:t xml:space="preserve">is to preserve the value of the principal, maintain liquidity appropriate to the forecasted working capital requirements of the System, provide prudent diversification </w:t>
      </w:r>
      <w:r w:rsidR="00726128" w:rsidRPr="00917772">
        <w:rPr>
          <w:rFonts w:ascii="Times New Roman" w:hAnsi="Times New Roman" w:cs="Times New Roman"/>
          <w:sz w:val="24"/>
          <w:szCs w:val="24"/>
        </w:rPr>
        <w:t xml:space="preserve">and </w:t>
      </w:r>
      <w:r w:rsidR="007E1DC6" w:rsidRPr="00917772">
        <w:rPr>
          <w:rFonts w:ascii="Times New Roman" w:hAnsi="Times New Roman" w:cs="Times New Roman"/>
          <w:sz w:val="24"/>
          <w:szCs w:val="24"/>
        </w:rPr>
        <w:t xml:space="preserve">maximize the rate of return on investment. </w:t>
      </w:r>
      <w:r w:rsidR="00CB1F4A">
        <w:rPr>
          <w:rFonts w:ascii="Times New Roman" w:hAnsi="Times New Roman" w:cs="Times New Roman"/>
          <w:sz w:val="24"/>
          <w:szCs w:val="24"/>
        </w:rPr>
        <w:t>Income from the</w:t>
      </w:r>
      <w:r w:rsidR="005251CC" w:rsidRPr="00917772">
        <w:rPr>
          <w:rFonts w:ascii="Times New Roman" w:hAnsi="Times New Roman" w:cs="Times New Roman"/>
          <w:sz w:val="24"/>
          <w:szCs w:val="24"/>
        </w:rPr>
        <w:t xml:space="preserve"> pool</w:t>
      </w:r>
      <w:r w:rsidR="00726128" w:rsidRPr="00917772">
        <w:rPr>
          <w:rFonts w:ascii="Times New Roman" w:hAnsi="Times New Roman" w:cs="Times New Roman"/>
          <w:sz w:val="24"/>
          <w:szCs w:val="24"/>
        </w:rPr>
        <w:t xml:space="preserve"> is</w:t>
      </w:r>
      <w:r w:rsidR="00C246E8" w:rsidRPr="00917772">
        <w:rPr>
          <w:rFonts w:ascii="Times New Roman" w:hAnsi="Times New Roman" w:cs="Times New Roman"/>
          <w:sz w:val="24"/>
          <w:szCs w:val="24"/>
        </w:rPr>
        <w:t xml:space="preserve"> returned to units in proportion to their sh</w:t>
      </w:r>
      <w:r w:rsidR="00C037CC" w:rsidRPr="00917772">
        <w:rPr>
          <w:rFonts w:ascii="Times New Roman" w:hAnsi="Times New Roman" w:cs="Times New Roman"/>
          <w:sz w:val="24"/>
          <w:szCs w:val="24"/>
        </w:rPr>
        <w:t>a</w:t>
      </w:r>
      <w:r w:rsidR="00C246E8" w:rsidRPr="00917772">
        <w:rPr>
          <w:rFonts w:ascii="Times New Roman" w:hAnsi="Times New Roman" w:cs="Times New Roman"/>
          <w:sz w:val="24"/>
          <w:szCs w:val="24"/>
        </w:rPr>
        <w:t xml:space="preserve">re of </w:t>
      </w:r>
      <w:r w:rsidR="005251CC" w:rsidRPr="00917772">
        <w:rPr>
          <w:rFonts w:ascii="Times New Roman" w:hAnsi="Times New Roman" w:cs="Times New Roman"/>
          <w:sz w:val="24"/>
          <w:szCs w:val="24"/>
        </w:rPr>
        <w:t>the assets</w:t>
      </w:r>
      <w:r w:rsidR="00C246E8" w:rsidRPr="00917772">
        <w:rPr>
          <w:rFonts w:ascii="Times New Roman" w:hAnsi="Times New Roman" w:cs="Times New Roman"/>
          <w:sz w:val="24"/>
          <w:szCs w:val="24"/>
        </w:rPr>
        <w:t xml:space="preserve">.  </w:t>
      </w:r>
      <w:r w:rsidR="00E04838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907C62">
        <w:rPr>
          <w:rFonts w:ascii="Times New Roman" w:hAnsi="Times New Roman" w:cs="Times New Roman"/>
          <w:sz w:val="24"/>
          <w:szCs w:val="24"/>
        </w:rPr>
        <w:t xml:space="preserve">During </w:t>
      </w:r>
      <w:r w:rsidR="00986199">
        <w:rPr>
          <w:rFonts w:ascii="Times New Roman" w:hAnsi="Times New Roman" w:cs="Times New Roman"/>
          <w:sz w:val="24"/>
          <w:szCs w:val="24"/>
        </w:rPr>
        <w:t xml:space="preserve">fiscal year </w:t>
      </w:r>
      <w:r w:rsidR="00D0515A">
        <w:rPr>
          <w:rFonts w:ascii="Times New Roman" w:hAnsi="Times New Roman" w:cs="Times New Roman"/>
          <w:sz w:val="24"/>
          <w:szCs w:val="24"/>
        </w:rPr>
        <w:t>202</w:t>
      </w:r>
      <w:r w:rsidR="008E6DC0">
        <w:rPr>
          <w:rFonts w:ascii="Times New Roman" w:hAnsi="Times New Roman" w:cs="Times New Roman"/>
          <w:sz w:val="24"/>
          <w:szCs w:val="24"/>
        </w:rPr>
        <w:t>1</w:t>
      </w:r>
      <w:r w:rsidR="00C037CC" w:rsidRPr="00A323BF">
        <w:rPr>
          <w:rFonts w:ascii="Times New Roman" w:hAnsi="Times New Roman" w:cs="Times New Roman"/>
          <w:sz w:val="24"/>
          <w:szCs w:val="24"/>
        </w:rPr>
        <w:t>,</w:t>
      </w:r>
      <w:r w:rsidR="00C246E8" w:rsidRPr="00A323BF">
        <w:rPr>
          <w:rFonts w:ascii="Times New Roman" w:hAnsi="Times New Roman" w:cs="Times New Roman"/>
          <w:sz w:val="24"/>
          <w:szCs w:val="24"/>
        </w:rPr>
        <w:t xml:space="preserve"> </w:t>
      </w:r>
      <w:r w:rsidR="00954BA6" w:rsidRPr="008E6DC0">
        <w:rPr>
          <w:rFonts w:ascii="Times New Roman" w:hAnsi="Times New Roman" w:cs="Times New Roman"/>
          <w:sz w:val="24"/>
          <w:szCs w:val="24"/>
        </w:rPr>
        <w:t>$</w:t>
      </w:r>
      <w:r w:rsidR="009E34AA">
        <w:rPr>
          <w:rFonts w:ascii="Times New Roman" w:hAnsi="Times New Roman" w:cs="Times New Roman"/>
          <w:sz w:val="24"/>
          <w:szCs w:val="24"/>
        </w:rPr>
        <w:t>52.8</w:t>
      </w:r>
      <w:r w:rsidR="00954BA6" w:rsidRPr="00917772">
        <w:rPr>
          <w:rFonts w:ascii="Times New Roman" w:hAnsi="Times New Roman" w:cs="Times New Roman"/>
          <w:sz w:val="24"/>
          <w:szCs w:val="24"/>
        </w:rPr>
        <w:t xml:space="preserve"> million was distributed </w:t>
      </w:r>
      <w:r w:rsidR="003554A7">
        <w:rPr>
          <w:rFonts w:ascii="Times New Roman" w:hAnsi="Times New Roman" w:cs="Times New Roman"/>
          <w:sz w:val="24"/>
          <w:szCs w:val="24"/>
        </w:rPr>
        <w:t>from the o</w:t>
      </w:r>
      <w:r w:rsidR="00D0515A">
        <w:rPr>
          <w:rFonts w:ascii="Times New Roman" w:hAnsi="Times New Roman" w:cs="Times New Roman"/>
          <w:sz w:val="24"/>
          <w:szCs w:val="24"/>
        </w:rPr>
        <w:t>perat</w:t>
      </w:r>
      <w:r w:rsidR="003554A7">
        <w:rPr>
          <w:rFonts w:ascii="Times New Roman" w:hAnsi="Times New Roman" w:cs="Times New Roman"/>
          <w:sz w:val="24"/>
          <w:szCs w:val="24"/>
        </w:rPr>
        <w:t>ing p</w:t>
      </w:r>
      <w:r w:rsidR="00D0515A">
        <w:rPr>
          <w:rFonts w:ascii="Times New Roman" w:hAnsi="Times New Roman" w:cs="Times New Roman"/>
          <w:sz w:val="24"/>
          <w:szCs w:val="24"/>
        </w:rPr>
        <w:t xml:space="preserve">ool </w:t>
      </w:r>
      <w:r w:rsidR="006F4B1E">
        <w:rPr>
          <w:rFonts w:ascii="Times New Roman" w:hAnsi="Times New Roman" w:cs="Times New Roman"/>
          <w:sz w:val="24"/>
          <w:szCs w:val="24"/>
        </w:rPr>
        <w:t>(</w:t>
      </w:r>
      <w:r w:rsidR="009E34AA">
        <w:rPr>
          <w:rFonts w:ascii="Times New Roman" w:hAnsi="Times New Roman" w:cs="Times New Roman"/>
          <w:sz w:val="24"/>
          <w:szCs w:val="24"/>
        </w:rPr>
        <w:t>including</w:t>
      </w:r>
      <w:r w:rsidR="006F4B1E">
        <w:rPr>
          <w:rFonts w:ascii="Times New Roman" w:hAnsi="Times New Roman" w:cs="Times New Roman"/>
          <w:sz w:val="24"/>
          <w:szCs w:val="24"/>
        </w:rPr>
        <w:t xml:space="preserve"> the permanent core allocation)</w:t>
      </w:r>
      <w:r w:rsidR="006F4B1E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D0515A">
        <w:rPr>
          <w:rFonts w:ascii="Times New Roman" w:hAnsi="Times New Roman" w:cs="Times New Roman"/>
          <w:sz w:val="24"/>
          <w:szCs w:val="24"/>
        </w:rPr>
        <w:t xml:space="preserve">after </w:t>
      </w:r>
      <w:r w:rsidR="009E34AA">
        <w:rPr>
          <w:rFonts w:ascii="Times New Roman" w:hAnsi="Times New Roman" w:cs="Times New Roman"/>
          <w:sz w:val="24"/>
          <w:szCs w:val="24"/>
        </w:rPr>
        <w:t xml:space="preserve">banking and </w:t>
      </w:r>
      <w:r w:rsidR="00D0515A">
        <w:rPr>
          <w:rFonts w:ascii="Times New Roman" w:hAnsi="Times New Roman" w:cs="Times New Roman"/>
          <w:sz w:val="24"/>
          <w:szCs w:val="24"/>
        </w:rPr>
        <w:t>investment management fees were paid</w:t>
      </w:r>
      <w:r w:rsidR="006F4B1E">
        <w:rPr>
          <w:rFonts w:ascii="Times New Roman" w:hAnsi="Times New Roman" w:cs="Times New Roman"/>
          <w:sz w:val="24"/>
          <w:szCs w:val="24"/>
        </w:rPr>
        <w:t>.</w:t>
      </w:r>
      <w:r w:rsidR="00485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BA65" w14:textId="736CD363" w:rsidR="006C3DDA" w:rsidRPr="006C3DDA" w:rsidRDefault="006C3DDA" w:rsidP="006C3DD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6C3DDA">
        <w:rPr>
          <w:rFonts w:ascii="Times New Roman" w:hAnsi="Times New Roman" w:cs="Times New Roman"/>
          <w:b/>
          <w:sz w:val="28"/>
          <w:szCs w:val="28"/>
        </w:rPr>
        <w:t>Asset Allocation</w:t>
      </w:r>
    </w:p>
    <w:p w14:paraId="72F6055F" w14:textId="4AB39BB9" w:rsidR="00015C23" w:rsidRDefault="003554A7" w:rsidP="00015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pool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assets are invested in fixed income securities and cash equivale</w:t>
      </w:r>
      <w:r w:rsidR="00485D0C">
        <w:rPr>
          <w:rFonts w:ascii="Times New Roman" w:hAnsi="Times New Roman" w:cs="Times New Roman"/>
          <w:sz w:val="24"/>
          <w:szCs w:val="24"/>
        </w:rPr>
        <w:t>nts</w:t>
      </w:r>
      <w:r w:rsidR="006F4B1E">
        <w:rPr>
          <w:rFonts w:ascii="Times New Roman" w:hAnsi="Times New Roman" w:cs="Times New Roman"/>
          <w:sz w:val="24"/>
          <w:szCs w:val="24"/>
        </w:rPr>
        <w:t xml:space="preserve">. 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The assets are allocated by liquidity layer. Investment managers within a given liquidity layer follow fundamentally consistent investment guidelines that set forth restrictions on duration, credit quality, diversification, performance benchmarks and permissible security types, among others. </w:t>
      </w:r>
      <w:r w:rsidR="009E6275">
        <w:rPr>
          <w:rFonts w:ascii="Times New Roman" w:hAnsi="Times New Roman" w:cs="Times New Roman"/>
          <w:sz w:val="24"/>
          <w:szCs w:val="24"/>
        </w:rPr>
        <w:t>Provided that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state regulation does not allow the System to b</w:t>
      </w:r>
      <w:r w:rsidR="00485D0C">
        <w:rPr>
          <w:rFonts w:ascii="Times New Roman" w:hAnsi="Times New Roman" w:cs="Times New Roman"/>
          <w:sz w:val="24"/>
          <w:szCs w:val="24"/>
        </w:rPr>
        <w:t>orrow for working capital, the operating p</w:t>
      </w:r>
      <w:r w:rsidR="00015C23" w:rsidRPr="00917772">
        <w:rPr>
          <w:rFonts w:ascii="Times New Roman" w:hAnsi="Times New Roman" w:cs="Times New Roman"/>
          <w:sz w:val="24"/>
          <w:szCs w:val="24"/>
        </w:rPr>
        <w:t>ool</w:t>
      </w:r>
      <w:r w:rsidR="00015C23"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493">
        <w:rPr>
          <w:rFonts w:ascii="Times New Roman" w:hAnsi="Times New Roman" w:cs="Times New Roman"/>
          <w:sz w:val="24"/>
          <w:szCs w:val="24"/>
        </w:rPr>
        <w:t>has ample</w:t>
      </w:r>
      <w:r w:rsidR="00015C23" w:rsidRPr="00917772" w:rsidDel="00FE7DC0">
        <w:rPr>
          <w:rFonts w:ascii="Times New Roman" w:hAnsi="Times New Roman" w:cs="Times New Roman"/>
          <w:sz w:val="24"/>
          <w:szCs w:val="24"/>
        </w:rPr>
        <w:t xml:space="preserve"> </w:t>
      </w:r>
      <w:r w:rsidR="00015C23" w:rsidRPr="00917772">
        <w:rPr>
          <w:rFonts w:ascii="Times New Roman" w:hAnsi="Times New Roman" w:cs="Times New Roman"/>
          <w:sz w:val="24"/>
          <w:szCs w:val="24"/>
        </w:rPr>
        <w:t>liquid</w:t>
      </w:r>
      <w:r w:rsidR="006C4493">
        <w:rPr>
          <w:rFonts w:ascii="Times New Roman" w:hAnsi="Times New Roman" w:cs="Times New Roman"/>
          <w:sz w:val="24"/>
          <w:szCs w:val="24"/>
        </w:rPr>
        <w:t>ity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and </w:t>
      </w:r>
      <w:r w:rsidR="006C4493">
        <w:rPr>
          <w:rFonts w:ascii="Times New Roman" w:hAnsi="Times New Roman" w:cs="Times New Roman"/>
          <w:sz w:val="24"/>
          <w:szCs w:val="24"/>
        </w:rPr>
        <w:t xml:space="preserve">is </w:t>
      </w:r>
      <w:r w:rsidR="00015C23" w:rsidRPr="00917772">
        <w:rPr>
          <w:rFonts w:ascii="Times New Roman" w:hAnsi="Times New Roman" w:cs="Times New Roman"/>
          <w:sz w:val="24"/>
          <w:szCs w:val="24"/>
        </w:rPr>
        <w:t>of high quality with a</w:t>
      </w:r>
      <w:r w:rsidR="00CB1F4A">
        <w:rPr>
          <w:rFonts w:ascii="Times New Roman" w:hAnsi="Times New Roman" w:cs="Times New Roman"/>
          <w:sz w:val="24"/>
          <w:szCs w:val="24"/>
        </w:rPr>
        <w:t>n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015C23" w:rsidRPr="00A323BF">
        <w:rPr>
          <w:rFonts w:ascii="Times New Roman" w:hAnsi="Times New Roman" w:cs="Times New Roman"/>
          <w:sz w:val="24"/>
          <w:szCs w:val="24"/>
        </w:rPr>
        <w:t>averag</w:t>
      </w:r>
      <w:r w:rsidR="00CB1F4A" w:rsidRPr="00A323BF">
        <w:rPr>
          <w:rFonts w:ascii="Times New Roman" w:hAnsi="Times New Roman" w:cs="Times New Roman"/>
          <w:sz w:val="24"/>
          <w:szCs w:val="24"/>
        </w:rPr>
        <w:t xml:space="preserve">e </w:t>
      </w:r>
      <w:r w:rsidR="005F684D" w:rsidRPr="00A323BF">
        <w:rPr>
          <w:rFonts w:ascii="Times New Roman" w:hAnsi="Times New Roman" w:cs="Times New Roman"/>
          <w:sz w:val="24"/>
          <w:szCs w:val="24"/>
        </w:rPr>
        <w:t>AA</w:t>
      </w:r>
      <w:r w:rsidR="006C3DDA" w:rsidRPr="00A323BF">
        <w:rPr>
          <w:rFonts w:ascii="Times New Roman" w:hAnsi="Times New Roman" w:cs="Times New Roman"/>
          <w:sz w:val="24"/>
          <w:szCs w:val="24"/>
        </w:rPr>
        <w:t xml:space="preserve"> credit</w:t>
      </w:r>
      <w:r w:rsidR="006C3DDA">
        <w:rPr>
          <w:rFonts w:ascii="Times New Roman" w:hAnsi="Times New Roman" w:cs="Times New Roman"/>
          <w:sz w:val="24"/>
          <w:szCs w:val="24"/>
        </w:rPr>
        <w:t xml:space="preserve"> rating. </w:t>
      </w:r>
      <w:r w:rsidR="0065474B">
        <w:rPr>
          <w:rFonts w:ascii="Times New Roman" w:hAnsi="Times New Roman" w:cs="Times New Roman"/>
          <w:sz w:val="24"/>
          <w:szCs w:val="24"/>
        </w:rPr>
        <w:t>Figure</w:t>
      </w:r>
      <w:r w:rsidR="00A60FBD">
        <w:rPr>
          <w:rFonts w:ascii="Times New Roman" w:hAnsi="Times New Roman" w:cs="Times New Roman"/>
          <w:sz w:val="24"/>
          <w:szCs w:val="24"/>
        </w:rPr>
        <w:t xml:space="preserve"> 10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6C3DDA">
        <w:rPr>
          <w:rFonts w:ascii="Times New Roman" w:hAnsi="Times New Roman" w:cs="Times New Roman"/>
          <w:sz w:val="24"/>
          <w:szCs w:val="24"/>
        </w:rPr>
        <w:t xml:space="preserve">demonstrates the </w:t>
      </w:r>
      <w:r w:rsidR="00485D0C">
        <w:rPr>
          <w:rFonts w:ascii="Times New Roman" w:hAnsi="Times New Roman" w:cs="Times New Roman"/>
          <w:sz w:val="24"/>
          <w:szCs w:val="24"/>
        </w:rPr>
        <w:t>operating p</w:t>
      </w:r>
      <w:r w:rsidR="00907C62">
        <w:rPr>
          <w:rFonts w:ascii="Times New Roman" w:hAnsi="Times New Roman" w:cs="Times New Roman"/>
          <w:sz w:val="24"/>
          <w:szCs w:val="24"/>
        </w:rPr>
        <w:t>ool’s</w:t>
      </w:r>
      <w:r w:rsidR="006C3DDA">
        <w:rPr>
          <w:rFonts w:ascii="Times New Roman" w:hAnsi="Times New Roman" w:cs="Times New Roman"/>
          <w:sz w:val="24"/>
          <w:szCs w:val="24"/>
        </w:rPr>
        <w:t xml:space="preserve"> asset allocation </w:t>
      </w:r>
      <w:r w:rsidR="00907C62">
        <w:rPr>
          <w:rFonts w:ascii="Times New Roman" w:hAnsi="Times New Roman" w:cs="Times New Roman"/>
          <w:sz w:val="24"/>
          <w:szCs w:val="24"/>
        </w:rPr>
        <w:t xml:space="preserve">on </w:t>
      </w:r>
      <w:r w:rsidR="00FF12AE">
        <w:rPr>
          <w:rFonts w:ascii="Times New Roman" w:hAnsi="Times New Roman" w:cs="Times New Roman"/>
          <w:sz w:val="24"/>
          <w:szCs w:val="24"/>
        </w:rPr>
        <w:t>June 30, 202</w:t>
      </w:r>
      <w:r w:rsidR="007A054A">
        <w:rPr>
          <w:rFonts w:ascii="Times New Roman" w:hAnsi="Times New Roman" w:cs="Times New Roman"/>
          <w:sz w:val="24"/>
          <w:szCs w:val="24"/>
        </w:rPr>
        <w:t>1</w:t>
      </w:r>
      <w:r w:rsidR="00907C62">
        <w:rPr>
          <w:rFonts w:ascii="Times New Roman" w:hAnsi="Times New Roman" w:cs="Times New Roman"/>
          <w:sz w:val="24"/>
          <w:szCs w:val="24"/>
        </w:rPr>
        <w:t xml:space="preserve">, </w:t>
      </w:r>
      <w:r w:rsidR="006C3DDA">
        <w:rPr>
          <w:rFonts w:ascii="Times New Roman" w:hAnsi="Times New Roman" w:cs="Times New Roman"/>
          <w:sz w:val="24"/>
          <w:szCs w:val="24"/>
        </w:rPr>
        <w:t>within the policy ranges by liquidity layer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223B9" w14:textId="42BA552C" w:rsidR="00015C23" w:rsidRPr="00015C23" w:rsidRDefault="0016179F" w:rsidP="0016179F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5F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0FBD" w:rsidRPr="008E6DC0">
        <w:rPr>
          <w:rFonts w:ascii="Times New Roman" w:hAnsi="Times New Roman" w:cs="Times New Roman"/>
          <w:b/>
          <w:sz w:val="24"/>
          <w:szCs w:val="24"/>
        </w:rPr>
        <w:t>Figure 10</w:t>
      </w:r>
    </w:p>
    <w:p w14:paraId="0D3986D3" w14:textId="452DE71B" w:rsidR="00015C23" w:rsidRDefault="00FF12AE" w:rsidP="00347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07DF69" wp14:editId="7A54FDF1">
            <wp:extent cx="5248275" cy="2266950"/>
            <wp:effectExtent l="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39AD8F4" w14:textId="70080157" w:rsidR="0016179F" w:rsidRPr="003476E2" w:rsidRDefault="003476E2" w:rsidP="00485D0C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3476E2">
        <w:rPr>
          <w:rFonts w:ascii="Times New Roman" w:hAnsi="Times New Roman" w:cs="Times New Roman"/>
          <w:sz w:val="20"/>
          <w:szCs w:val="20"/>
        </w:rPr>
        <w:t xml:space="preserve">*Note: The </w:t>
      </w:r>
      <w:r w:rsidR="003554A7">
        <w:rPr>
          <w:rFonts w:ascii="Times New Roman" w:hAnsi="Times New Roman" w:cs="Times New Roman"/>
          <w:sz w:val="20"/>
          <w:szCs w:val="20"/>
        </w:rPr>
        <w:t>t</w:t>
      </w:r>
      <w:r w:rsidRPr="003476E2">
        <w:rPr>
          <w:rFonts w:ascii="Times New Roman" w:hAnsi="Times New Roman" w:cs="Times New Roman"/>
          <w:sz w:val="20"/>
          <w:szCs w:val="20"/>
        </w:rPr>
        <w:t xml:space="preserve">otal </w:t>
      </w:r>
      <w:r w:rsidR="003554A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perating </w:t>
      </w:r>
      <w:r w:rsidR="003554A7">
        <w:rPr>
          <w:rFonts w:ascii="Times New Roman" w:hAnsi="Times New Roman" w:cs="Times New Roman"/>
          <w:sz w:val="20"/>
          <w:szCs w:val="20"/>
        </w:rPr>
        <w:t>p</w:t>
      </w:r>
      <w:r w:rsidRPr="003476E2">
        <w:rPr>
          <w:rFonts w:ascii="Times New Roman" w:hAnsi="Times New Roman" w:cs="Times New Roman"/>
          <w:sz w:val="20"/>
          <w:szCs w:val="20"/>
        </w:rPr>
        <w:t>ool market value does not inclu</w:t>
      </w:r>
      <w:r w:rsidR="00DA1613">
        <w:rPr>
          <w:rFonts w:ascii="Times New Roman" w:hAnsi="Times New Roman" w:cs="Times New Roman"/>
          <w:sz w:val="20"/>
          <w:szCs w:val="20"/>
        </w:rPr>
        <w:t>de the permanent c</w:t>
      </w:r>
      <w:r>
        <w:rPr>
          <w:rFonts w:ascii="Times New Roman" w:hAnsi="Times New Roman" w:cs="Times New Roman"/>
          <w:sz w:val="20"/>
          <w:szCs w:val="20"/>
        </w:rPr>
        <w:t>ore allocation</w:t>
      </w:r>
      <w:r w:rsidRPr="003476E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This allocation is </w:t>
      </w:r>
      <w:r w:rsidR="00485D0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554A7">
        <w:rPr>
          <w:rFonts w:ascii="Times New Roman" w:hAnsi="Times New Roman" w:cs="Times New Roman"/>
          <w:sz w:val="20"/>
          <w:szCs w:val="20"/>
        </w:rPr>
        <w:t>included in the endowment p</w:t>
      </w:r>
      <w:r>
        <w:rPr>
          <w:rFonts w:ascii="Times New Roman" w:hAnsi="Times New Roman" w:cs="Times New Roman"/>
          <w:sz w:val="20"/>
          <w:szCs w:val="20"/>
        </w:rPr>
        <w:t>ool market value.</w:t>
      </w:r>
    </w:p>
    <w:p w14:paraId="3681C4CF" w14:textId="77777777" w:rsidR="0016179F" w:rsidRDefault="0016179F">
      <w:pPr>
        <w:rPr>
          <w:rFonts w:ascii="Times New Roman" w:hAnsi="Times New Roman" w:cs="Times New Roman"/>
          <w:b/>
          <w:sz w:val="24"/>
          <w:szCs w:val="24"/>
        </w:rPr>
      </w:pPr>
    </w:p>
    <w:p w14:paraId="74368682" w14:textId="77777777" w:rsidR="00386277" w:rsidRDefault="00386277">
      <w:pPr>
        <w:rPr>
          <w:rFonts w:ascii="Times New Roman" w:hAnsi="Times New Roman" w:cs="Times New Roman"/>
          <w:b/>
          <w:sz w:val="28"/>
          <w:szCs w:val="28"/>
        </w:rPr>
      </w:pPr>
    </w:p>
    <w:p w14:paraId="3F585AD1" w14:textId="77777777" w:rsidR="006F4B1E" w:rsidRDefault="006F4B1E">
      <w:pPr>
        <w:rPr>
          <w:rFonts w:ascii="Times New Roman" w:hAnsi="Times New Roman" w:cs="Times New Roman"/>
          <w:b/>
          <w:sz w:val="28"/>
          <w:szCs w:val="28"/>
        </w:rPr>
      </w:pPr>
    </w:p>
    <w:p w14:paraId="641D3783" w14:textId="77777777" w:rsidR="007A054A" w:rsidRDefault="007A054A">
      <w:pPr>
        <w:rPr>
          <w:rFonts w:ascii="Times New Roman" w:hAnsi="Times New Roman" w:cs="Times New Roman"/>
          <w:b/>
          <w:sz w:val="28"/>
          <w:szCs w:val="28"/>
        </w:rPr>
      </w:pPr>
    </w:p>
    <w:p w14:paraId="2B680D92" w14:textId="6769E258" w:rsidR="0016179F" w:rsidRPr="006C3DDA" w:rsidRDefault="006C3DDA">
      <w:pPr>
        <w:rPr>
          <w:rFonts w:ascii="Times New Roman" w:hAnsi="Times New Roman" w:cs="Times New Roman"/>
          <w:b/>
          <w:sz w:val="28"/>
          <w:szCs w:val="28"/>
        </w:rPr>
      </w:pPr>
      <w:r w:rsidRPr="006C3DDA">
        <w:rPr>
          <w:rFonts w:ascii="Times New Roman" w:hAnsi="Times New Roman" w:cs="Times New Roman"/>
          <w:b/>
          <w:sz w:val="28"/>
          <w:szCs w:val="28"/>
        </w:rPr>
        <w:lastRenderedPageBreak/>
        <w:t>Performance</w:t>
      </w:r>
      <w:r w:rsidR="002C3769">
        <w:rPr>
          <w:rFonts w:ascii="Times New Roman" w:hAnsi="Times New Roman" w:cs="Times New Roman"/>
          <w:b/>
          <w:sz w:val="28"/>
          <w:szCs w:val="28"/>
        </w:rPr>
        <w:t xml:space="preserve"> Measurement</w:t>
      </w:r>
    </w:p>
    <w:p w14:paraId="1A0DA6AD" w14:textId="38B0A833" w:rsidR="00CB3AA6" w:rsidRPr="00514814" w:rsidRDefault="00DA1613" w:rsidP="00CB3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p</w:t>
      </w:r>
      <w:r w:rsidR="006C3DDA">
        <w:rPr>
          <w:rFonts w:ascii="Times New Roman" w:hAnsi="Times New Roman" w:cs="Times New Roman"/>
          <w:sz w:val="24"/>
          <w:szCs w:val="24"/>
        </w:rPr>
        <w:t>ool managers</w:t>
      </w:r>
      <w:r w:rsidR="00470B2F">
        <w:rPr>
          <w:rFonts w:ascii="Times New Roman" w:hAnsi="Times New Roman" w:cs="Times New Roman"/>
          <w:sz w:val="24"/>
          <w:szCs w:val="24"/>
        </w:rPr>
        <w:t xml:space="preserve"> have consistently outperformed the perfo</w:t>
      </w:r>
      <w:r w:rsidR="00A33260">
        <w:rPr>
          <w:rFonts w:ascii="Times New Roman" w:hAnsi="Times New Roman" w:cs="Times New Roman"/>
          <w:sz w:val="24"/>
          <w:szCs w:val="24"/>
        </w:rPr>
        <w:t>rmance benchmark.</w:t>
      </w:r>
      <w:r w:rsidR="007E5089">
        <w:rPr>
          <w:rFonts w:ascii="Times New Roman" w:hAnsi="Times New Roman" w:cs="Times New Roman"/>
          <w:sz w:val="24"/>
          <w:szCs w:val="24"/>
        </w:rPr>
        <w:t xml:space="preserve"> </w:t>
      </w:r>
      <w:r w:rsidR="00A60FBD" w:rsidRPr="00514814">
        <w:rPr>
          <w:rFonts w:ascii="Times New Roman" w:hAnsi="Times New Roman" w:cs="Times New Roman"/>
          <w:sz w:val="24"/>
          <w:szCs w:val="24"/>
        </w:rPr>
        <w:t>Historical performance relative to the performance benchmark is displayed in Figure 11.</w:t>
      </w:r>
    </w:p>
    <w:p w14:paraId="6EF2B4D6" w14:textId="0F5560F6" w:rsidR="00593434" w:rsidRPr="00CB3AA6" w:rsidRDefault="00CB3AA6" w:rsidP="00CB3AA6">
      <w:pPr>
        <w:rPr>
          <w:rFonts w:ascii="Times New Roman" w:hAnsi="Times New Roman" w:cs="Times New Roman"/>
          <w:sz w:val="24"/>
          <w:szCs w:val="24"/>
        </w:rPr>
      </w:pPr>
      <w:r w:rsidRPr="00514814">
        <w:rPr>
          <w:rFonts w:ascii="Times New Roman" w:hAnsi="Times New Roman" w:cs="Times New Roman"/>
          <w:sz w:val="24"/>
          <w:szCs w:val="24"/>
        </w:rPr>
        <w:t xml:space="preserve">       </w:t>
      </w:r>
      <w:r w:rsidR="00A60FBD" w:rsidRPr="00E80082">
        <w:rPr>
          <w:rFonts w:ascii="Times New Roman" w:hAnsi="Times New Roman" w:cs="Times New Roman"/>
          <w:b/>
          <w:sz w:val="24"/>
          <w:szCs w:val="24"/>
        </w:rPr>
        <w:t>Figure 11</w:t>
      </w:r>
      <w:r w:rsidR="00AF0C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723738" w14:textId="0215B872" w:rsidR="00593434" w:rsidRDefault="002F0F20" w:rsidP="001617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2303BE86" wp14:editId="4602E722">
            <wp:extent cx="5800725" cy="2698750"/>
            <wp:effectExtent l="0" t="0" r="9525" b="6350"/>
            <wp:docPr id="11264" name="Chart 112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D377B60" w14:textId="7D996177" w:rsidR="003904AA" w:rsidRDefault="00770C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9AF06D2" w14:textId="21D5D5C1" w:rsidR="00834E84" w:rsidRPr="00386277" w:rsidRDefault="00386277" w:rsidP="003862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277">
        <w:rPr>
          <w:rFonts w:ascii="Times New Roman" w:hAnsi="Times New Roman" w:cs="Times New Roman"/>
          <w:b/>
          <w:sz w:val="32"/>
          <w:szCs w:val="32"/>
        </w:rPr>
        <w:lastRenderedPageBreak/>
        <w:t>Financial</w:t>
      </w:r>
      <w:r>
        <w:rPr>
          <w:rFonts w:ascii="Times New Roman" w:hAnsi="Times New Roman" w:cs="Times New Roman"/>
          <w:b/>
          <w:sz w:val="32"/>
          <w:szCs w:val="32"/>
        </w:rPr>
        <w:t xml:space="preserve"> Impact</w:t>
      </w:r>
    </w:p>
    <w:p w14:paraId="41058D0B" w14:textId="30971BDC" w:rsidR="00714CE6" w:rsidRPr="00A60FBD" w:rsidRDefault="00DA1613" w:rsidP="00A60FBD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investment p</w:t>
      </w:r>
      <w:r w:rsidR="00714CE6">
        <w:rPr>
          <w:rFonts w:ascii="Times New Roman" w:hAnsi="Times New Roman" w:cs="Times New Roman"/>
          <w:sz w:val="24"/>
          <w:szCs w:val="24"/>
        </w:rPr>
        <w:t>rogram generates investment income, as well as investment management costs</w:t>
      </w:r>
      <w:r w:rsidR="008041A5">
        <w:rPr>
          <w:rFonts w:ascii="Times New Roman" w:hAnsi="Times New Roman" w:cs="Times New Roman"/>
          <w:sz w:val="24"/>
          <w:szCs w:val="24"/>
        </w:rPr>
        <w:t>,</w:t>
      </w:r>
      <w:r w:rsidR="00714CE6">
        <w:rPr>
          <w:rFonts w:ascii="Times New Roman" w:hAnsi="Times New Roman" w:cs="Times New Roman"/>
          <w:sz w:val="24"/>
          <w:szCs w:val="24"/>
        </w:rPr>
        <w:t xml:space="preserve"> to the University System. </w:t>
      </w:r>
      <w:r w:rsidR="00A60FBD">
        <w:rPr>
          <w:rFonts w:ascii="Times New Roman" w:hAnsi="Times New Roman" w:cs="Times New Roman"/>
          <w:sz w:val="24"/>
          <w:szCs w:val="24"/>
        </w:rPr>
        <w:t>All costs are offset or paid directly from investment income. The Investment Office works diligently to maintain the cost structure at a reasonable level.</w:t>
      </w:r>
    </w:p>
    <w:p w14:paraId="679F7E5F" w14:textId="05F9E9EF" w:rsidR="00714CE6" w:rsidRPr="00714CE6" w:rsidRDefault="00714CE6">
      <w:pPr>
        <w:rPr>
          <w:rFonts w:ascii="Times New Roman" w:hAnsi="Times New Roman" w:cs="Times New Roman"/>
          <w:b/>
          <w:sz w:val="28"/>
          <w:szCs w:val="28"/>
        </w:rPr>
      </w:pPr>
      <w:r w:rsidRPr="00714CE6">
        <w:rPr>
          <w:rFonts w:ascii="Times New Roman" w:hAnsi="Times New Roman" w:cs="Times New Roman"/>
          <w:b/>
          <w:sz w:val="28"/>
          <w:szCs w:val="28"/>
        </w:rPr>
        <w:t>Income Distribution</w:t>
      </w:r>
    </w:p>
    <w:p w14:paraId="4AE8C76B" w14:textId="7AEEAB2F" w:rsidR="00834E84" w:rsidRPr="00DC1AE3" w:rsidRDefault="00986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20</w:t>
      </w:r>
      <w:r w:rsidR="00B14825">
        <w:rPr>
          <w:rFonts w:ascii="Times New Roman" w:hAnsi="Times New Roman" w:cs="Times New Roman"/>
          <w:sz w:val="24"/>
          <w:szCs w:val="24"/>
        </w:rPr>
        <w:t>2</w:t>
      </w:r>
      <w:r w:rsidR="00E80082">
        <w:rPr>
          <w:rFonts w:ascii="Times New Roman" w:hAnsi="Times New Roman" w:cs="Times New Roman"/>
          <w:sz w:val="24"/>
          <w:szCs w:val="24"/>
        </w:rPr>
        <w:t>1</w:t>
      </w:r>
      <w:r w:rsidR="00AF0C22">
        <w:rPr>
          <w:rFonts w:ascii="Times New Roman" w:hAnsi="Times New Roman" w:cs="Times New Roman"/>
          <w:sz w:val="24"/>
          <w:szCs w:val="24"/>
        </w:rPr>
        <w:t xml:space="preserve"> </w:t>
      </w:r>
      <w:r w:rsidR="00982624">
        <w:rPr>
          <w:rFonts w:ascii="Times New Roman" w:hAnsi="Times New Roman" w:cs="Times New Roman"/>
          <w:sz w:val="24"/>
          <w:szCs w:val="24"/>
        </w:rPr>
        <w:t>fiscal</w:t>
      </w:r>
      <w:r w:rsidR="00DA1613">
        <w:rPr>
          <w:rFonts w:ascii="Times New Roman" w:hAnsi="Times New Roman" w:cs="Times New Roman"/>
          <w:sz w:val="24"/>
          <w:szCs w:val="24"/>
        </w:rPr>
        <w:t xml:space="preserve"> year, the investment p</w:t>
      </w:r>
      <w:r w:rsidR="00834E84" w:rsidRPr="00917772">
        <w:rPr>
          <w:rFonts w:ascii="Times New Roman" w:hAnsi="Times New Roman" w:cs="Times New Roman"/>
          <w:sz w:val="24"/>
          <w:szCs w:val="24"/>
        </w:rPr>
        <w:t>ro</w:t>
      </w:r>
      <w:r w:rsidR="008041A5">
        <w:rPr>
          <w:rFonts w:ascii="Times New Roman" w:hAnsi="Times New Roman" w:cs="Times New Roman"/>
          <w:sz w:val="24"/>
          <w:szCs w:val="24"/>
        </w:rPr>
        <w:t xml:space="preserve">gram distributed income </w:t>
      </w:r>
      <w:r w:rsidR="008041A5" w:rsidRPr="00DC1AE3">
        <w:rPr>
          <w:rFonts w:ascii="Times New Roman" w:hAnsi="Times New Roman" w:cs="Times New Roman"/>
          <w:sz w:val="24"/>
          <w:szCs w:val="24"/>
        </w:rPr>
        <w:t xml:space="preserve">of </w:t>
      </w:r>
      <w:r w:rsidR="005F684D" w:rsidRPr="009E34AA">
        <w:rPr>
          <w:rFonts w:ascii="Times New Roman" w:hAnsi="Times New Roman" w:cs="Times New Roman"/>
          <w:sz w:val="24"/>
          <w:szCs w:val="24"/>
        </w:rPr>
        <w:t>$</w:t>
      </w:r>
      <w:r w:rsidR="009E34AA">
        <w:rPr>
          <w:rFonts w:ascii="Times New Roman" w:hAnsi="Times New Roman" w:cs="Times New Roman"/>
          <w:sz w:val="24"/>
          <w:szCs w:val="24"/>
        </w:rPr>
        <w:t>80.2</w:t>
      </w:r>
      <w:r w:rsidR="00834E84" w:rsidRPr="005F684D">
        <w:rPr>
          <w:rFonts w:ascii="Times New Roman" w:hAnsi="Times New Roman" w:cs="Times New Roman"/>
          <w:sz w:val="24"/>
          <w:szCs w:val="24"/>
        </w:rPr>
        <w:t xml:space="preserve"> million in</w:t>
      </w:r>
      <w:r w:rsidR="00834E84" w:rsidRPr="00917772">
        <w:rPr>
          <w:rFonts w:ascii="Times New Roman" w:hAnsi="Times New Roman" w:cs="Times New Roman"/>
          <w:sz w:val="24"/>
          <w:szCs w:val="24"/>
        </w:rPr>
        <w:t xml:space="preserve"> total to units across the University System</w:t>
      </w:r>
      <w:r w:rsidR="001D0B3F">
        <w:rPr>
          <w:rFonts w:ascii="Times New Roman" w:hAnsi="Times New Roman" w:cs="Times New Roman"/>
          <w:sz w:val="24"/>
          <w:szCs w:val="24"/>
        </w:rPr>
        <w:t xml:space="preserve"> after paying investment management fees. </w:t>
      </w:r>
      <w:r w:rsidR="00834E84" w:rsidRPr="00917772">
        <w:rPr>
          <w:rFonts w:ascii="Times New Roman" w:hAnsi="Times New Roman" w:cs="Times New Roman"/>
          <w:sz w:val="24"/>
          <w:szCs w:val="24"/>
        </w:rPr>
        <w:t>The summary of the distributio</w:t>
      </w:r>
      <w:r w:rsidR="005251CC" w:rsidRPr="00917772">
        <w:rPr>
          <w:rFonts w:ascii="Times New Roman" w:hAnsi="Times New Roman" w:cs="Times New Roman"/>
          <w:sz w:val="24"/>
          <w:szCs w:val="24"/>
        </w:rPr>
        <w:t>n</w:t>
      </w:r>
      <w:r w:rsidR="00851E0C" w:rsidRPr="00917772">
        <w:rPr>
          <w:rFonts w:ascii="Times New Roman" w:hAnsi="Times New Roman" w:cs="Times New Roman"/>
          <w:sz w:val="24"/>
          <w:szCs w:val="24"/>
        </w:rPr>
        <w:t xml:space="preserve"> by source </w:t>
      </w:r>
      <w:r w:rsidR="00A60FBD">
        <w:rPr>
          <w:rFonts w:ascii="Times New Roman" w:hAnsi="Times New Roman" w:cs="Times New Roman"/>
          <w:sz w:val="24"/>
          <w:szCs w:val="24"/>
        </w:rPr>
        <w:t>is shown in Figure 12</w:t>
      </w:r>
      <w:r w:rsidR="00834E84" w:rsidRPr="009177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FC81F" w14:textId="15325C62" w:rsidR="00C51922" w:rsidRPr="00917772" w:rsidRDefault="0016179F" w:rsidP="0016179F">
      <w:pPr>
        <w:rPr>
          <w:rFonts w:ascii="Times New Roman" w:hAnsi="Times New Roman" w:cs="Times New Roman"/>
          <w:b/>
          <w:sz w:val="24"/>
          <w:szCs w:val="24"/>
        </w:rPr>
      </w:pPr>
      <w:r w:rsidRPr="00DC1A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0B3F">
        <w:rPr>
          <w:rFonts w:ascii="Times New Roman" w:hAnsi="Times New Roman" w:cs="Times New Roman"/>
          <w:b/>
          <w:sz w:val="24"/>
          <w:szCs w:val="24"/>
        </w:rPr>
        <w:tab/>
      </w:r>
      <w:r w:rsidR="001D0B3F">
        <w:rPr>
          <w:rFonts w:ascii="Times New Roman" w:hAnsi="Times New Roman" w:cs="Times New Roman"/>
          <w:b/>
          <w:sz w:val="24"/>
          <w:szCs w:val="24"/>
        </w:rPr>
        <w:tab/>
      </w:r>
      <w:r w:rsidR="001D0B3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60FBD" w:rsidRPr="009E34AA">
        <w:rPr>
          <w:rFonts w:ascii="Times New Roman" w:hAnsi="Times New Roman" w:cs="Times New Roman"/>
          <w:b/>
          <w:sz w:val="24"/>
          <w:szCs w:val="24"/>
        </w:rPr>
        <w:t>Figure 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4"/>
        <w:gridCol w:w="1470"/>
      </w:tblGrid>
      <w:tr w:rsidR="001D0B3F" w:rsidRPr="00917772" w14:paraId="7C3BCFBE" w14:textId="7EF0DBD0" w:rsidTr="00DA1613">
        <w:trPr>
          <w:jc w:val="center"/>
        </w:trPr>
        <w:tc>
          <w:tcPr>
            <w:tcW w:w="4044" w:type="dxa"/>
            <w:shd w:val="clear" w:color="auto" w:fill="BFBFBF" w:themeFill="background1" w:themeFillShade="BF"/>
          </w:tcPr>
          <w:p w14:paraId="55BEF31C" w14:textId="77777777" w:rsidR="001D0B3F" w:rsidRPr="00917772" w:rsidRDefault="001D0B3F" w:rsidP="0023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72">
              <w:rPr>
                <w:rFonts w:ascii="Times New Roman" w:hAnsi="Times New Roman" w:cs="Times New Roman"/>
                <w:b/>
                <w:sz w:val="24"/>
                <w:szCs w:val="24"/>
              </w:rPr>
              <w:t>($ Millions)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92DC926" w14:textId="736149DF" w:rsidR="001D0B3F" w:rsidRPr="00917772" w:rsidRDefault="001D0B3F" w:rsidP="0091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Distribution</w:t>
            </w:r>
          </w:p>
        </w:tc>
      </w:tr>
      <w:tr w:rsidR="001D0B3F" w:rsidRPr="00917772" w14:paraId="4AC2E13A" w14:textId="6C8AAA1E" w:rsidTr="00DA1613">
        <w:trPr>
          <w:jc w:val="center"/>
        </w:trPr>
        <w:tc>
          <w:tcPr>
            <w:tcW w:w="4044" w:type="dxa"/>
          </w:tcPr>
          <w:p w14:paraId="1D9DB9B7" w14:textId="5AA919FD" w:rsidR="001D0B3F" w:rsidRPr="00917772" w:rsidRDefault="001D0B3F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Endowment Pool</w:t>
            </w:r>
          </w:p>
        </w:tc>
        <w:tc>
          <w:tcPr>
            <w:tcW w:w="1260" w:type="dxa"/>
          </w:tcPr>
          <w:p w14:paraId="1EAD2FB8" w14:textId="4ACC8299" w:rsidR="001D0B3F" w:rsidRPr="001D0B3F" w:rsidRDefault="00C4081D" w:rsidP="00B1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</w:tr>
      <w:tr w:rsidR="001D0B3F" w:rsidRPr="00917772" w14:paraId="38012EC1" w14:textId="750C7231" w:rsidTr="00DA1613">
        <w:trPr>
          <w:jc w:val="center"/>
        </w:trPr>
        <w:tc>
          <w:tcPr>
            <w:tcW w:w="4044" w:type="dxa"/>
          </w:tcPr>
          <w:p w14:paraId="314758B2" w14:textId="195EC0AC" w:rsidR="001D0B3F" w:rsidRPr="00A61701" w:rsidRDefault="001D0B3F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Pool</w:t>
            </w:r>
            <w:r w:rsidRPr="00A6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7985C586" w14:textId="70C049B3" w:rsidR="001D0B3F" w:rsidRPr="001D0B3F" w:rsidRDefault="00C4081D" w:rsidP="00B1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</w:tr>
      <w:tr w:rsidR="001D0B3F" w:rsidRPr="00917772" w14:paraId="488A8B29" w14:textId="77777777" w:rsidTr="00DA1613">
        <w:trPr>
          <w:jc w:val="center"/>
        </w:trPr>
        <w:tc>
          <w:tcPr>
            <w:tcW w:w="4044" w:type="dxa"/>
          </w:tcPr>
          <w:p w14:paraId="7C76B022" w14:textId="26F40A92" w:rsidR="001D0B3F" w:rsidRDefault="001D0B3F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Endowment Farms</w:t>
            </w:r>
          </w:p>
        </w:tc>
        <w:tc>
          <w:tcPr>
            <w:tcW w:w="1260" w:type="dxa"/>
          </w:tcPr>
          <w:p w14:paraId="705002DB" w14:textId="70A2113E" w:rsidR="001D0B3F" w:rsidRPr="001D0B3F" w:rsidRDefault="009E34AA" w:rsidP="00B1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1D0B3F" w:rsidRPr="00917772" w14:paraId="148AD749" w14:textId="11ABAA7B" w:rsidTr="00DA1613">
        <w:trPr>
          <w:jc w:val="center"/>
        </w:trPr>
        <w:tc>
          <w:tcPr>
            <w:tcW w:w="4044" w:type="dxa"/>
            <w:tcBorders>
              <w:bottom w:val="single" w:sz="4" w:space="0" w:color="auto"/>
            </w:tcBorders>
          </w:tcPr>
          <w:p w14:paraId="702B9AE4" w14:textId="77777777" w:rsidR="001D0B3F" w:rsidRPr="00917772" w:rsidRDefault="001D0B3F" w:rsidP="0023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72">
              <w:rPr>
                <w:rFonts w:ascii="Times New Roman" w:hAnsi="Times New Roman" w:cs="Times New Roman"/>
                <w:b/>
                <w:sz w:val="24"/>
                <w:szCs w:val="24"/>
              </w:rPr>
              <w:t>Total Distribution</w:t>
            </w:r>
          </w:p>
        </w:tc>
        <w:tc>
          <w:tcPr>
            <w:tcW w:w="1260" w:type="dxa"/>
          </w:tcPr>
          <w:p w14:paraId="01B7E716" w14:textId="01995F94" w:rsidR="001D0B3F" w:rsidRPr="00A60FBD" w:rsidRDefault="009E34AA" w:rsidP="00B14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80.2</w:t>
            </w:r>
          </w:p>
        </w:tc>
      </w:tr>
    </w:tbl>
    <w:p w14:paraId="31E5BE36" w14:textId="77777777" w:rsidR="00917772" w:rsidRPr="00917772" w:rsidRDefault="00917772">
      <w:pPr>
        <w:rPr>
          <w:rFonts w:ascii="Times New Roman" w:hAnsi="Times New Roman" w:cs="Times New Roman"/>
          <w:b/>
          <w:sz w:val="24"/>
          <w:szCs w:val="24"/>
        </w:rPr>
      </w:pPr>
    </w:p>
    <w:p w14:paraId="09069503" w14:textId="7A7F8005" w:rsidR="007B4942" w:rsidRPr="00714CE6" w:rsidRDefault="00294D2F">
      <w:pPr>
        <w:rPr>
          <w:rFonts w:ascii="Times New Roman" w:hAnsi="Times New Roman" w:cs="Times New Roman"/>
          <w:b/>
          <w:sz w:val="28"/>
          <w:szCs w:val="28"/>
        </w:rPr>
      </w:pPr>
      <w:r w:rsidRPr="00714CE6">
        <w:rPr>
          <w:rFonts w:ascii="Times New Roman" w:hAnsi="Times New Roman" w:cs="Times New Roman"/>
          <w:b/>
          <w:sz w:val="28"/>
          <w:szCs w:val="28"/>
        </w:rPr>
        <w:t>Program Costs</w:t>
      </w:r>
      <w:r w:rsidR="004621BC" w:rsidRPr="00714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D97DF" w14:textId="6B8ED07E" w:rsidR="00A407AF" w:rsidRDefault="00834304" w:rsidP="00A407AF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>The most significant cost</w:t>
      </w:r>
      <w:r w:rsidR="00DA1613">
        <w:rPr>
          <w:rFonts w:ascii="Times New Roman" w:hAnsi="Times New Roman" w:cs="Times New Roman"/>
          <w:sz w:val="24"/>
          <w:szCs w:val="24"/>
        </w:rPr>
        <w:t xml:space="preserve"> to the investment p</w:t>
      </w:r>
      <w:r w:rsidR="00C6716C" w:rsidRPr="00917772">
        <w:rPr>
          <w:rFonts w:ascii="Times New Roman" w:hAnsi="Times New Roman" w:cs="Times New Roman"/>
          <w:sz w:val="24"/>
          <w:szCs w:val="24"/>
        </w:rPr>
        <w:t>rogram is external counterparty (</w:t>
      </w:r>
      <w:r w:rsidR="00C6716C" w:rsidRPr="00917772">
        <w:rPr>
          <w:rFonts w:ascii="Times New Roman" w:hAnsi="Times New Roman" w:cs="Times New Roman"/>
          <w:i/>
          <w:sz w:val="24"/>
          <w:szCs w:val="24"/>
        </w:rPr>
        <w:t>i.e.,</w:t>
      </w:r>
      <w:r w:rsidR="00C6716C" w:rsidRPr="00917772">
        <w:rPr>
          <w:rFonts w:ascii="Times New Roman" w:hAnsi="Times New Roman" w:cs="Times New Roman"/>
          <w:sz w:val="24"/>
          <w:szCs w:val="24"/>
        </w:rPr>
        <w:t xml:space="preserve"> investment manager, custody, investmen</w:t>
      </w:r>
      <w:r w:rsidR="00982624">
        <w:rPr>
          <w:rFonts w:ascii="Times New Roman" w:hAnsi="Times New Roman" w:cs="Times New Roman"/>
          <w:sz w:val="24"/>
          <w:szCs w:val="24"/>
        </w:rPr>
        <w:t>t consultant) fees. For fiscal</w:t>
      </w:r>
      <w:r w:rsidR="008D4AFA">
        <w:rPr>
          <w:rFonts w:ascii="Times New Roman" w:hAnsi="Times New Roman" w:cs="Times New Roman"/>
          <w:sz w:val="24"/>
          <w:szCs w:val="24"/>
        </w:rPr>
        <w:t xml:space="preserve"> year 202</w:t>
      </w:r>
      <w:r w:rsidR="00DF1B65">
        <w:rPr>
          <w:rFonts w:ascii="Times New Roman" w:hAnsi="Times New Roman" w:cs="Times New Roman"/>
          <w:sz w:val="24"/>
          <w:szCs w:val="24"/>
        </w:rPr>
        <w:t>1</w:t>
      </w:r>
      <w:r w:rsidR="009F11D8" w:rsidRPr="00917772">
        <w:rPr>
          <w:rFonts w:ascii="Times New Roman" w:hAnsi="Times New Roman" w:cs="Times New Roman"/>
          <w:sz w:val="24"/>
          <w:szCs w:val="24"/>
        </w:rPr>
        <w:t xml:space="preserve">, this </w:t>
      </w:r>
      <w:r w:rsidR="009F11D8" w:rsidRPr="00B17533">
        <w:rPr>
          <w:rFonts w:ascii="Times New Roman" w:hAnsi="Times New Roman" w:cs="Times New Roman"/>
          <w:sz w:val="24"/>
          <w:szCs w:val="24"/>
        </w:rPr>
        <w:t xml:space="preserve">comprised </w:t>
      </w:r>
      <w:r w:rsidR="00B31A90" w:rsidRPr="00B17533">
        <w:rPr>
          <w:rFonts w:ascii="Times New Roman" w:hAnsi="Times New Roman" w:cs="Times New Roman"/>
          <w:sz w:val="24"/>
          <w:szCs w:val="24"/>
        </w:rPr>
        <w:t>$</w:t>
      </w:r>
      <w:r w:rsidR="00B17533" w:rsidRPr="00B17533">
        <w:rPr>
          <w:rFonts w:ascii="Times New Roman" w:hAnsi="Times New Roman" w:cs="Times New Roman"/>
          <w:sz w:val="24"/>
          <w:szCs w:val="24"/>
        </w:rPr>
        <w:t>1</w:t>
      </w:r>
      <w:r w:rsidR="006D0702">
        <w:rPr>
          <w:rFonts w:ascii="Times New Roman" w:hAnsi="Times New Roman" w:cs="Times New Roman"/>
          <w:sz w:val="24"/>
          <w:szCs w:val="24"/>
        </w:rPr>
        <w:t>5.</w:t>
      </w:r>
      <w:r w:rsidR="00A45A7B">
        <w:rPr>
          <w:rFonts w:ascii="Times New Roman" w:hAnsi="Times New Roman" w:cs="Times New Roman"/>
          <w:sz w:val="24"/>
          <w:szCs w:val="24"/>
        </w:rPr>
        <w:t>5</w:t>
      </w:r>
      <w:r w:rsidR="00DF1F46" w:rsidRPr="00B17533">
        <w:rPr>
          <w:rFonts w:ascii="Times New Roman" w:hAnsi="Times New Roman" w:cs="Times New Roman"/>
          <w:sz w:val="24"/>
          <w:szCs w:val="24"/>
        </w:rPr>
        <w:t xml:space="preserve"> million or </w:t>
      </w:r>
      <w:r w:rsidR="00A45A7B">
        <w:rPr>
          <w:rFonts w:ascii="Times New Roman" w:hAnsi="Times New Roman" w:cs="Times New Roman"/>
          <w:sz w:val="24"/>
          <w:szCs w:val="24"/>
        </w:rPr>
        <w:t>40</w:t>
      </w:r>
      <w:r w:rsidR="009F11D8" w:rsidRPr="00B17533">
        <w:rPr>
          <w:rFonts w:ascii="Times New Roman" w:hAnsi="Times New Roman" w:cs="Times New Roman"/>
          <w:sz w:val="24"/>
          <w:szCs w:val="24"/>
        </w:rPr>
        <w:t xml:space="preserve"> basis points</w:t>
      </w:r>
      <w:r w:rsidR="009F11D8" w:rsidRPr="00917772">
        <w:rPr>
          <w:rFonts w:ascii="Times New Roman" w:hAnsi="Times New Roman" w:cs="Times New Roman"/>
          <w:sz w:val="24"/>
          <w:szCs w:val="24"/>
        </w:rPr>
        <w:t xml:space="preserve"> of total assets</w:t>
      </w:r>
      <w:r w:rsidR="00A407AF">
        <w:rPr>
          <w:rFonts w:ascii="Times New Roman" w:hAnsi="Times New Roman" w:cs="Times New Roman"/>
          <w:sz w:val="24"/>
          <w:szCs w:val="24"/>
        </w:rPr>
        <w:t>. Investment manager</w:t>
      </w:r>
      <w:r w:rsidR="00C6716C" w:rsidRPr="00917772">
        <w:rPr>
          <w:rFonts w:ascii="Times New Roman" w:hAnsi="Times New Roman" w:cs="Times New Roman"/>
          <w:sz w:val="24"/>
          <w:szCs w:val="24"/>
        </w:rPr>
        <w:t xml:space="preserve"> fees </w:t>
      </w:r>
      <w:r w:rsidR="00A407AF">
        <w:rPr>
          <w:rFonts w:ascii="Times New Roman" w:hAnsi="Times New Roman" w:cs="Times New Roman"/>
          <w:sz w:val="24"/>
          <w:szCs w:val="24"/>
        </w:rPr>
        <w:t>are net against performance</w:t>
      </w:r>
      <w:r w:rsidR="00C6716C" w:rsidRPr="00917772">
        <w:rPr>
          <w:rFonts w:ascii="Times New Roman" w:hAnsi="Times New Roman" w:cs="Times New Roman"/>
          <w:sz w:val="24"/>
          <w:szCs w:val="24"/>
        </w:rPr>
        <w:t xml:space="preserve">. </w:t>
      </w:r>
      <w:r w:rsidR="00DA1613">
        <w:rPr>
          <w:rFonts w:ascii="Times New Roman" w:hAnsi="Times New Roman" w:cs="Times New Roman"/>
          <w:sz w:val="24"/>
          <w:szCs w:val="24"/>
        </w:rPr>
        <w:t>The fee schedule is enclose</w:t>
      </w:r>
      <w:r w:rsidR="006F4B1E">
        <w:rPr>
          <w:rFonts w:ascii="Times New Roman" w:hAnsi="Times New Roman" w:cs="Times New Roman"/>
          <w:sz w:val="24"/>
          <w:szCs w:val="24"/>
        </w:rPr>
        <w:t>d</w:t>
      </w:r>
      <w:r w:rsidR="00DA1613">
        <w:rPr>
          <w:rFonts w:ascii="Times New Roman" w:hAnsi="Times New Roman" w:cs="Times New Roman"/>
          <w:sz w:val="24"/>
          <w:szCs w:val="24"/>
        </w:rPr>
        <w:t xml:space="preserve"> in the appendix</w:t>
      </w:r>
      <w:r w:rsidR="00A407AF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="00A407AF">
        <w:rPr>
          <w:rFonts w:ascii="Times New Roman" w:hAnsi="Times New Roman" w:cs="Times New Roman"/>
          <w:sz w:val="24"/>
          <w:szCs w:val="24"/>
        </w:rPr>
        <w:t>FY2</w:t>
      </w:r>
      <w:r w:rsidR="00DF1B65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A407AF">
        <w:rPr>
          <w:rFonts w:ascii="Times New Roman" w:hAnsi="Times New Roman" w:cs="Times New Roman"/>
          <w:sz w:val="24"/>
          <w:szCs w:val="24"/>
        </w:rPr>
        <w:t xml:space="preserve"> Fee Summary is included</w:t>
      </w:r>
      <w:r w:rsidR="006F4B1E">
        <w:rPr>
          <w:rFonts w:ascii="Times New Roman" w:hAnsi="Times New Roman" w:cs="Times New Roman"/>
          <w:sz w:val="24"/>
          <w:szCs w:val="24"/>
        </w:rPr>
        <w:t xml:space="preserve"> separately</w:t>
      </w:r>
      <w:r w:rsidR="00A407AF">
        <w:rPr>
          <w:rFonts w:ascii="Times New Roman" w:hAnsi="Times New Roman" w:cs="Times New Roman"/>
          <w:sz w:val="24"/>
          <w:szCs w:val="24"/>
        </w:rPr>
        <w:t xml:space="preserve"> in the board materials.</w:t>
      </w:r>
      <w:r w:rsidR="00EE5F9E">
        <w:rPr>
          <w:rFonts w:ascii="Times New Roman" w:hAnsi="Times New Roman" w:cs="Times New Roman"/>
          <w:sz w:val="24"/>
          <w:szCs w:val="24"/>
        </w:rPr>
        <w:t xml:space="preserve"> </w:t>
      </w:r>
      <w:r w:rsidR="00C6716C" w:rsidRPr="00514814">
        <w:rPr>
          <w:rFonts w:ascii="Times New Roman" w:hAnsi="Times New Roman" w:cs="Times New Roman"/>
          <w:sz w:val="24"/>
          <w:szCs w:val="24"/>
        </w:rPr>
        <w:t>Internally</w:t>
      </w:r>
      <w:r w:rsidR="00C6716C" w:rsidRPr="00917772">
        <w:rPr>
          <w:rFonts w:ascii="Times New Roman" w:hAnsi="Times New Roman" w:cs="Times New Roman"/>
          <w:sz w:val="24"/>
          <w:szCs w:val="24"/>
        </w:rPr>
        <w:t>, t</w:t>
      </w:r>
      <w:r w:rsidR="00FB58B8" w:rsidRPr="00917772">
        <w:rPr>
          <w:rFonts w:ascii="Times New Roman" w:hAnsi="Times New Roman" w:cs="Times New Roman"/>
          <w:sz w:val="24"/>
          <w:szCs w:val="24"/>
        </w:rPr>
        <w:t>he</w:t>
      </w:r>
      <w:r w:rsidR="004621BC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4621BC" w:rsidRPr="00B17533">
        <w:rPr>
          <w:rFonts w:ascii="Times New Roman" w:hAnsi="Times New Roman" w:cs="Times New Roman"/>
          <w:sz w:val="24"/>
          <w:szCs w:val="24"/>
        </w:rPr>
        <w:t>Invest</w:t>
      </w:r>
      <w:r w:rsidR="003904AA" w:rsidRPr="00B17533">
        <w:rPr>
          <w:rFonts w:ascii="Times New Roman" w:hAnsi="Times New Roman" w:cs="Times New Roman"/>
          <w:sz w:val="24"/>
          <w:szCs w:val="24"/>
        </w:rPr>
        <w:t>ment Office is comprised of three full time employees</w:t>
      </w:r>
      <w:r w:rsidR="004621BC" w:rsidRPr="00B17533">
        <w:rPr>
          <w:rFonts w:ascii="Times New Roman" w:hAnsi="Times New Roman" w:cs="Times New Roman"/>
          <w:sz w:val="24"/>
          <w:szCs w:val="24"/>
        </w:rPr>
        <w:t xml:space="preserve"> with </w:t>
      </w:r>
      <w:r w:rsidR="003904AA" w:rsidRPr="00B17533">
        <w:rPr>
          <w:rFonts w:ascii="Times New Roman" w:hAnsi="Times New Roman" w:cs="Times New Roman"/>
          <w:sz w:val="24"/>
          <w:szCs w:val="24"/>
        </w:rPr>
        <w:t xml:space="preserve">an </w:t>
      </w:r>
      <w:r w:rsidR="004621BC" w:rsidRPr="00B17533">
        <w:rPr>
          <w:rFonts w:ascii="Times New Roman" w:hAnsi="Times New Roman" w:cs="Times New Roman"/>
          <w:sz w:val="24"/>
          <w:szCs w:val="24"/>
        </w:rPr>
        <w:t>annual sal</w:t>
      </w:r>
      <w:r w:rsidRPr="00B17533">
        <w:rPr>
          <w:rFonts w:ascii="Times New Roman" w:hAnsi="Times New Roman" w:cs="Times New Roman"/>
          <w:sz w:val="24"/>
          <w:szCs w:val="24"/>
        </w:rPr>
        <w:t xml:space="preserve">ary cost to </w:t>
      </w:r>
      <w:r w:rsidR="008B0048" w:rsidRPr="00B17533">
        <w:rPr>
          <w:rFonts w:ascii="Times New Roman" w:hAnsi="Times New Roman" w:cs="Times New Roman"/>
          <w:sz w:val="24"/>
          <w:szCs w:val="24"/>
        </w:rPr>
        <w:t>the System of</w:t>
      </w:r>
      <w:r w:rsidR="00A407AF" w:rsidRPr="00B17533">
        <w:rPr>
          <w:rFonts w:ascii="Times New Roman" w:hAnsi="Times New Roman" w:cs="Times New Roman"/>
          <w:sz w:val="24"/>
          <w:szCs w:val="24"/>
        </w:rPr>
        <w:t xml:space="preserve"> approximately $</w:t>
      </w:r>
      <w:proofErr w:type="spellStart"/>
      <w:r w:rsidR="00A407AF" w:rsidRPr="00B17533">
        <w:rPr>
          <w:rFonts w:ascii="Times New Roman" w:hAnsi="Times New Roman" w:cs="Times New Roman"/>
          <w:sz w:val="24"/>
          <w:szCs w:val="24"/>
        </w:rPr>
        <w:t>2</w:t>
      </w:r>
      <w:r w:rsidR="00B17533" w:rsidRPr="00B17533">
        <w:rPr>
          <w:rFonts w:ascii="Times New Roman" w:hAnsi="Times New Roman" w:cs="Times New Roman"/>
          <w:sz w:val="24"/>
          <w:szCs w:val="24"/>
        </w:rPr>
        <w:t>8</w:t>
      </w:r>
      <w:r w:rsidR="00161714" w:rsidRPr="00B17533">
        <w:rPr>
          <w:rFonts w:ascii="Times New Roman" w:hAnsi="Times New Roman" w:cs="Times New Roman"/>
          <w:sz w:val="24"/>
          <w:szCs w:val="24"/>
        </w:rPr>
        <w:t>0</w:t>
      </w:r>
      <w:r w:rsidRPr="00B1753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14814">
        <w:rPr>
          <w:rFonts w:ascii="Times New Roman" w:hAnsi="Times New Roman" w:cs="Times New Roman"/>
          <w:sz w:val="24"/>
          <w:szCs w:val="24"/>
        </w:rPr>
        <w:t xml:space="preserve"> with a technology </w:t>
      </w:r>
      <w:r w:rsidR="00C6716C" w:rsidRPr="00514814">
        <w:rPr>
          <w:rFonts w:ascii="Times New Roman" w:hAnsi="Times New Roman" w:cs="Times New Roman"/>
          <w:sz w:val="24"/>
          <w:szCs w:val="24"/>
        </w:rPr>
        <w:t>expense</w:t>
      </w:r>
      <w:r w:rsidRPr="00514814">
        <w:rPr>
          <w:rFonts w:ascii="Times New Roman" w:hAnsi="Times New Roman" w:cs="Times New Roman"/>
          <w:sz w:val="24"/>
          <w:szCs w:val="24"/>
        </w:rPr>
        <w:t xml:space="preserve"> of </w:t>
      </w:r>
      <w:r w:rsidR="00514814" w:rsidRPr="00B17533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="00B17533">
        <w:rPr>
          <w:rFonts w:ascii="Times New Roman" w:hAnsi="Times New Roman" w:cs="Times New Roman"/>
          <w:sz w:val="24"/>
          <w:szCs w:val="24"/>
        </w:rPr>
        <w:t>50</w:t>
      </w:r>
      <w:r w:rsidRPr="00B1753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17533">
        <w:rPr>
          <w:rFonts w:ascii="Times New Roman" w:hAnsi="Times New Roman" w:cs="Times New Roman"/>
          <w:sz w:val="24"/>
          <w:szCs w:val="24"/>
        </w:rPr>
        <w:t>.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F19C0" w14:textId="686DCC6E" w:rsidR="009E6275" w:rsidRPr="00917772" w:rsidRDefault="00A407AF" w:rsidP="00A407AF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FY2</w:t>
      </w:r>
      <w:r w:rsidR="00DF1B65"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B1E">
        <w:rPr>
          <w:rFonts w:ascii="Times New Roman" w:hAnsi="Times New Roman" w:cs="Times New Roman"/>
          <w:sz w:val="24"/>
          <w:szCs w:val="24"/>
        </w:rPr>
        <w:t>Security Listing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FY2</w:t>
      </w:r>
      <w:r w:rsidR="00DF1B65"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Endowment Transaction Report have also been included </w:t>
      </w:r>
      <w:r w:rsidR="008807AF">
        <w:rPr>
          <w:rFonts w:ascii="Times New Roman" w:hAnsi="Times New Roman" w:cs="Times New Roman"/>
          <w:sz w:val="24"/>
          <w:szCs w:val="24"/>
        </w:rPr>
        <w:t xml:space="preserve">as separate attachments </w:t>
      </w:r>
      <w:r w:rsidR="00D063D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board materials. </w:t>
      </w:r>
    </w:p>
    <w:p w14:paraId="0305E3DB" w14:textId="77777777" w:rsidR="00E1022B" w:rsidRDefault="00E1022B">
      <w:pPr>
        <w:rPr>
          <w:rFonts w:ascii="Times New Roman" w:hAnsi="Times New Roman" w:cs="Times New Roman"/>
          <w:b/>
          <w:sz w:val="24"/>
          <w:szCs w:val="24"/>
        </w:rPr>
      </w:pPr>
    </w:p>
    <w:p w14:paraId="18FAA429" w14:textId="061A00A0" w:rsidR="00770C56" w:rsidRDefault="00770C56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br w:type="page"/>
      </w:r>
    </w:p>
    <w:p w14:paraId="742C1105" w14:textId="77777777" w:rsidR="00E91C7F" w:rsidRDefault="00E91C7F" w:rsidP="00E91C7F">
      <w:pPr>
        <w:pStyle w:val="Heading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University of Illinois System </w:t>
      </w:r>
    </w:p>
    <w:p w14:paraId="5995DEC8" w14:textId="77777777" w:rsidR="00E91C7F" w:rsidRDefault="00E91C7F" w:rsidP="00E91C7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Investment Fee Schedule – Traditional Investments</w:t>
      </w:r>
    </w:p>
    <w:p w14:paraId="65908322" w14:textId="77777777" w:rsidR="00E91C7F" w:rsidRDefault="00E91C7F" w:rsidP="00E91C7F">
      <w:pPr>
        <w:ind w:hanging="630"/>
        <w:rPr>
          <w:b/>
        </w:rPr>
      </w:pPr>
    </w:p>
    <w:p w14:paraId="74039F71" w14:textId="77777777" w:rsidR="00E91C7F" w:rsidRDefault="00E91C7F" w:rsidP="00E91C7F">
      <w:pPr>
        <w:rPr>
          <w:b/>
        </w:rPr>
      </w:pPr>
      <w:r>
        <w:rPr>
          <w:b/>
        </w:rPr>
        <w:t>Firm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Terms</w:t>
      </w:r>
    </w:p>
    <w:p w14:paraId="4A08A810" w14:textId="77777777" w:rsidR="00E91C7F" w:rsidRDefault="00E91C7F" w:rsidP="00E91C7F">
      <w:r>
        <w:rPr>
          <w:u w:val="single"/>
        </w:rPr>
        <w:t>Money Market Funds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Management Fee</w:t>
      </w:r>
    </w:p>
    <w:p w14:paraId="49244AF3" w14:textId="77777777" w:rsidR="00E91C7F" w:rsidRDefault="00E91C7F" w:rsidP="00E91C7F">
      <w:pPr>
        <w:pStyle w:val="NoSpacing"/>
      </w:pPr>
      <w:r>
        <w:t>JP Morgan</w:t>
      </w:r>
      <w:r>
        <w:tab/>
      </w:r>
      <w:r>
        <w:tab/>
      </w:r>
      <w:r>
        <w:tab/>
      </w:r>
      <w:r>
        <w:tab/>
      </w:r>
      <w:r>
        <w:tab/>
      </w:r>
      <w:r>
        <w:tab/>
        <w:t>0.18%</w:t>
      </w:r>
    </w:p>
    <w:p w14:paraId="105C1DA7" w14:textId="77777777" w:rsidR="00E91C7F" w:rsidRDefault="00E91C7F" w:rsidP="00E91C7F">
      <w:pPr>
        <w:pStyle w:val="NoSpacing"/>
      </w:pPr>
      <w:r>
        <w:t>(U.S. Government Money Market Fund)</w:t>
      </w:r>
      <w:r>
        <w:tab/>
      </w:r>
    </w:p>
    <w:p w14:paraId="38EA4D2F" w14:textId="77777777" w:rsidR="00E91C7F" w:rsidRDefault="00E91C7F" w:rsidP="00E91C7F">
      <w:pPr>
        <w:pStyle w:val="NoSpacing"/>
        <w:ind w:hanging="630"/>
      </w:pPr>
    </w:p>
    <w:p w14:paraId="0F9FE2C9" w14:textId="77777777" w:rsidR="00E91C7F" w:rsidRDefault="00E91C7F" w:rsidP="00E91C7F">
      <w:pPr>
        <w:pStyle w:val="NoSpacing"/>
      </w:pPr>
      <w:r>
        <w:t>Northern Trust</w:t>
      </w:r>
      <w:r>
        <w:tab/>
      </w:r>
      <w:r>
        <w:tab/>
      </w:r>
      <w:r>
        <w:tab/>
      </w:r>
      <w:r>
        <w:tab/>
      </w:r>
      <w:r>
        <w:tab/>
      </w:r>
      <w:r>
        <w:tab/>
        <w:t>0.20%</w:t>
      </w:r>
    </w:p>
    <w:p w14:paraId="03CC0347" w14:textId="77777777" w:rsidR="00E91C7F" w:rsidRDefault="00E91C7F" w:rsidP="00E91C7F">
      <w:pPr>
        <w:pStyle w:val="NoSpacing"/>
      </w:pPr>
      <w:r>
        <w:t>(Institutional Government Select Portfolio)</w:t>
      </w:r>
    </w:p>
    <w:p w14:paraId="44A66E7E" w14:textId="77777777" w:rsidR="00E91C7F" w:rsidRDefault="00E91C7F" w:rsidP="00E91C7F">
      <w:pPr>
        <w:pStyle w:val="NoSpacing"/>
      </w:pPr>
    </w:p>
    <w:p w14:paraId="3FE9BE5A" w14:textId="77777777" w:rsidR="00E91C7F" w:rsidRDefault="00E91C7F" w:rsidP="00E91C7F">
      <w:pPr>
        <w:pStyle w:val="NoSpacing"/>
      </w:pPr>
      <w:r>
        <w:t>Illinois Funds</w:t>
      </w:r>
      <w:r>
        <w:tab/>
      </w:r>
      <w:r>
        <w:tab/>
      </w:r>
      <w:r>
        <w:tab/>
      </w:r>
      <w:r>
        <w:tab/>
      </w:r>
      <w:r>
        <w:tab/>
      </w:r>
      <w:r>
        <w:tab/>
        <w:t>0.05% (plus administrative expenses)</w:t>
      </w:r>
    </w:p>
    <w:p w14:paraId="05384FBA" w14:textId="77777777" w:rsidR="00E91C7F" w:rsidRDefault="00E91C7F" w:rsidP="00E91C7F">
      <w:pPr>
        <w:pStyle w:val="NoSpacing"/>
      </w:pPr>
      <w:r>
        <w:t>(Local Government Investment Pool)</w:t>
      </w:r>
    </w:p>
    <w:p w14:paraId="5C573B8E" w14:textId="77777777" w:rsidR="00E91C7F" w:rsidRDefault="00E91C7F" w:rsidP="00E91C7F">
      <w:pPr>
        <w:pStyle w:val="NoSpacing"/>
        <w:ind w:hanging="630"/>
        <w:rPr>
          <w:u w:val="single"/>
        </w:rPr>
      </w:pPr>
    </w:p>
    <w:p w14:paraId="19949E24" w14:textId="77777777" w:rsidR="00E91C7F" w:rsidRDefault="00E91C7F" w:rsidP="00E91C7F">
      <w:pPr>
        <w:pStyle w:val="NoSpacing"/>
      </w:pPr>
      <w:r>
        <w:rPr>
          <w:u w:val="single"/>
        </w:rPr>
        <w:t>Fixed Income</w:t>
      </w:r>
      <w:r>
        <w:tab/>
      </w:r>
    </w:p>
    <w:p w14:paraId="75837F9A" w14:textId="77777777" w:rsidR="00E91C7F" w:rsidRDefault="00E91C7F" w:rsidP="00E91C7F">
      <w:pPr>
        <w:pStyle w:val="NoSpacing"/>
        <w:ind w:hanging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31D72" w14:textId="77777777" w:rsidR="00E91C7F" w:rsidRDefault="00E91C7F" w:rsidP="00E91C7F">
      <w:pPr>
        <w:pStyle w:val="NoSpacing"/>
        <w:ind w:left="720" w:hanging="720"/>
      </w:pPr>
      <w:r>
        <w:t>Galliard Capital Management</w:t>
      </w:r>
      <w:r>
        <w:tab/>
      </w:r>
      <w:r>
        <w:tab/>
      </w:r>
      <w:r>
        <w:tab/>
      </w:r>
      <w:r>
        <w:tab/>
        <w:t>0.18% - first $200 million</w:t>
      </w:r>
    </w:p>
    <w:p w14:paraId="684D8AD5" w14:textId="77777777" w:rsidR="00E91C7F" w:rsidRDefault="00E91C7F" w:rsidP="00E91C7F">
      <w:pPr>
        <w:pStyle w:val="NoSpacing"/>
        <w:ind w:left="720" w:hanging="720"/>
      </w:pPr>
      <w:r>
        <w:t>(Short Duration)</w:t>
      </w:r>
      <w:r>
        <w:tab/>
      </w:r>
      <w:r>
        <w:tab/>
      </w:r>
      <w:r>
        <w:tab/>
      </w:r>
      <w:r>
        <w:tab/>
      </w:r>
      <w:r>
        <w:tab/>
        <w:t>0.15% - balance</w:t>
      </w:r>
      <w:r>
        <w:tab/>
      </w:r>
      <w:r>
        <w:tab/>
      </w:r>
      <w:r>
        <w:tab/>
      </w:r>
      <w:r>
        <w:tab/>
      </w:r>
    </w:p>
    <w:p w14:paraId="01D40737" w14:textId="77777777" w:rsidR="00E91C7F" w:rsidRDefault="00E91C7F" w:rsidP="00E91C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589CB" w14:textId="77777777" w:rsidR="00E91C7F" w:rsidRDefault="00E91C7F" w:rsidP="00E91C7F">
      <w:pPr>
        <w:pStyle w:val="NoSpacing"/>
        <w:ind w:left="720" w:hanging="720"/>
      </w:pPr>
      <w:r>
        <w:t>Income Research + Management</w:t>
      </w:r>
      <w:r>
        <w:tab/>
      </w:r>
      <w:r>
        <w:tab/>
      </w:r>
      <w:r>
        <w:tab/>
        <w:t>0.21% - first $100 million</w:t>
      </w:r>
    </w:p>
    <w:p w14:paraId="41240F29" w14:textId="77777777" w:rsidR="00E91C7F" w:rsidRDefault="00E91C7F" w:rsidP="00E91C7F">
      <w:pPr>
        <w:pStyle w:val="NoSpacing"/>
        <w:ind w:left="720" w:hanging="720"/>
      </w:pPr>
      <w:r>
        <w:t>(Short Duration and Intermediate)</w:t>
      </w:r>
      <w:r>
        <w:tab/>
      </w:r>
      <w:r>
        <w:tab/>
      </w:r>
      <w:r>
        <w:tab/>
        <w:t>0.18% - next $100 million</w:t>
      </w:r>
    </w:p>
    <w:p w14:paraId="1F665D48" w14:textId="452F87B5" w:rsidR="00E91C7F" w:rsidRDefault="00E91C7F" w:rsidP="00E91C7F">
      <w:pPr>
        <w:pStyle w:val="NoSpacing"/>
        <w:ind w:left="720" w:hanging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0.15% - balance </w:t>
      </w:r>
    </w:p>
    <w:p w14:paraId="22C573A1" w14:textId="77777777" w:rsidR="00E91C7F" w:rsidRDefault="00E91C7F" w:rsidP="00E91C7F">
      <w:pPr>
        <w:pStyle w:val="NoSpacing"/>
      </w:pPr>
    </w:p>
    <w:p w14:paraId="0D68B956" w14:textId="6955FC85" w:rsidR="00E91C7F" w:rsidRDefault="00E91C7F" w:rsidP="00E91C7F">
      <w:pPr>
        <w:pStyle w:val="NoSpacing"/>
      </w:pPr>
      <w:r>
        <w:t>JP Morgan</w:t>
      </w:r>
      <w:r>
        <w:tab/>
      </w:r>
      <w:r>
        <w:tab/>
      </w:r>
      <w:r>
        <w:tab/>
      </w:r>
      <w:r>
        <w:tab/>
      </w:r>
      <w:r>
        <w:tab/>
      </w:r>
      <w:r>
        <w:tab/>
        <w:t>0.15% - first $50 million</w:t>
      </w:r>
    </w:p>
    <w:p w14:paraId="059ACCEC" w14:textId="77777777" w:rsidR="00E91C7F" w:rsidRDefault="00E91C7F" w:rsidP="00E91C7F">
      <w:pPr>
        <w:pStyle w:val="NoSpacing"/>
      </w:pPr>
      <w:r>
        <w:t>(Managed Reserves)</w:t>
      </w:r>
      <w:r>
        <w:tab/>
      </w:r>
      <w:r>
        <w:tab/>
      </w:r>
      <w:r>
        <w:tab/>
      </w:r>
      <w:r>
        <w:tab/>
      </w:r>
      <w:r>
        <w:tab/>
        <w:t>0.125% - next $50 million</w:t>
      </w:r>
    </w:p>
    <w:p w14:paraId="1EB42173" w14:textId="4B760EC8" w:rsidR="00E91C7F" w:rsidRDefault="00E91C7F" w:rsidP="00E91C7F">
      <w:pPr>
        <w:pStyle w:val="NoSpacing"/>
        <w:ind w:left="720" w:hanging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0.10% - next $100 million</w:t>
      </w:r>
    </w:p>
    <w:p w14:paraId="7F73F697" w14:textId="0B21FB4E" w:rsidR="00E91C7F" w:rsidRDefault="00E91C7F" w:rsidP="00E91C7F">
      <w:pPr>
        <w:pStyle w:val="NoSpacing"/>
        <w:ind w:left="720" w:hanging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0.08% - next $100 million</w:t>
      </w:r>
    </w:p>
    <w:p w14:paraId="1EC7F971" w14:textId="77777777" w:rsidR="00E91C7F" w:rsidRDefault="00E91C7F" w:rsidP="00E91C7F">
      <w:pPr>
        <w:pStyle w:val="NoSpacing"/>
      </w:pPr>
    </w:p>
    <w:p w14:paraId="78B91DD1" w14:textId="77777777" w:rsidR="00E91C7F" w:rsidRDefault="00E91C7F" w:rsidP="00E91C7F">
      <w:pPr>
        <w:pStyle w:val="NoSpacing"/>
        <w:ind w:left="720" w:hanging="720"/>
      </w:pPr>
      <w:r>
        <w:t>Neuberger Berman</w:t>
      </w:r>
      <w:r>
        <w:tab/>
      </w:r>
      <w:r>
        <w:tab/>
      </w:r>
      <w:r>
        <w:tab/>
      </w:r>
      <w:r>
        <w:tab/>
      </w:r>
      <w:r>
        <w:tab/>
        <w:t>0.175% - first $50 million</w:t>
      </w:r>
    </w:p>
    <w:p w14:paraId="70B9DCD9" w14:textId="77777777" w:rsidR="00E91C7F" w:rsidRDefault="00E91C7F" w:rsidP="00E91C7F">
      <w:pPr>
        <w:pStyle w:val="NoSpacing"/>
        <w:ind w:left="720" w:hanging="720"/>
      </w:pPr>
      <w:r>
        <w:t>(Enhanced Cash)</w:t>
      </w:r>
      <w:r>
        <w:tab/>
      </w:r>
      <w:r>
        <w:tab/>
      </w:r>
      <w:r>
        <w:tab/>
      </w:r>
      <w:r>
        <w:tab/>
      </w:r>
      <w:r>
        <w:tab/>
        <w:t>0.15% - next $50 million</w:t>
      </w:r>
    </w:p>
    <w:p w14:paraId="255A6FD6" w14:textId="0BF19DE4" w:rsidR="00E91C7F" w:rsidRDefault="00E91C7F" w:rsidP="00E91C7F">
      <w:pPr>
        <w:pStyle w:val="NoSpacing"/>
        <w:ind w:left="720" w:hanging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0.12% - next $150 million</w:t>
      </w:r>
    </w:p>
    <w:p w14:paraId="19813A17" w14:textId="4F42E25C" w:rsidR="00E91C7F" w:rsidRDefault="00E91C7F" w:rsidP="00E91C7F">
      <w:pPr>
        <w:pStyle w:val="NoSpacing"/>
        <w:ind w:left="720" w:hanging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(10% rebate on total fee)</w:t>
      </w:r>
    </w:p>
    <w:p w14:paraId="0D9E3390" w14:textId="77777777" w:rsidR="00E91C7F" w:rsidRDefault="00E91C7F" w:rsidP="00E91C7F">
      <w:pPr>
        <w:pStyle w:val="NoSpacing"/>
        <w:ind w:left="720" w:hanging="1350"/>
      </w:pPr>
    </w:p>
    <w:p w14:paraId="092CDF6D" w14:textId="77777777" w:rsidR="00E91C7F" w:rsidRDefault="00E91C7F" w:rsidP="00E91C7F">
      <w:pPr>
        <w:pStyle w:val="NoSpacing"/>
        <w:ind w:left="720" w:hanging="720"/>
      </w:pPr>
      <w:r>
        <w:t>Neuberger Berman</w:t>
      </w:r>
      <w:r>
        <w:tab/>
      </w:r>
      <w:r>
        <w:tab/>
      </w:r>
      <w:r>
        <w:tab/>
      </w:r>
      <w:r>
        <w:tab/>
      </w:r>
      <w:r>
        <w:tab/>
        <w:t>0.20% - flat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841059" w14:textId="77777777" w:rsidR="00E91C7F" w:rsidRDefault="00E91C7F" w:rsidP="00E91C7F">
      <w:pPr>
        <w:pStyle w:val="NoSpacing"/>
        <w:ind w:left="720" w:hanging="720"/>
      </w:pPr>
      <w:r>
        <w:t>(Intermediate)</w:t>
      </w:r>
      <w:r>
        <w:tab/>
      </w:r>
      <w:r>
        <w:tab/>
      </w:r>
      <w:r>
        <w:tab/>
      </w:r>
      <w:r>
        <w:tab/>
      </w:r>
      <w:r>
        <w:tab/>
      </w:r>
      <w:r>
        <w:tab/>
        <w:t>(10% rebate on total fee)</w:t>
      </w:r>
    </w:p>
    <w:p w14:paraId="7A73DF33" w14:textId="77777777" w:rsidR="00E91C7F" w:rsidRDefault="00E91C7F" w:rsidP="00E91C7F">
      <w:pPr>
        <w:pStyle w:val="NoSpacing"/>
        <w:ind w:left="720" w:hanging="1350"/>
      </w:pPr>
    </w:p>
    <w:p w14:paraId="4A46A28F" w14:textId="77777777" w:rsidR="00E91C7F" w:rsidRDefault="00E91C7F" w:rsidP="00E91C7F">
      <w:pPr>
        <w:pStyle w:val="NoSpacing"/>
        <w:ind w:left="720" w:hanging="720"/>
      </w:pPr>
      <w:r>
        <w:t>Northern Trust</w:t>
      </w:r>
      <w:r>
        <w:tab/>
      </w:r>
      <w:r>
        <w:tab/>
      </w:r>
      <w:r>
        <w:tab/>
      </w:r>
      <w:r>
        <w:tab/>
      </w:r>
      <w:r>
        <w:tab/>
      </w:r>
      <w:r>
        <w:tab/>
        <w:t>0.20% - first $100 million</w:t>
      </w:r>
    </w:p>
    <w:p w14:paraId="12D72BAF" w14:textId="77777777" w:rsidR="00E91C7F" w:rsidRDefault="00E91C7F" w:rsidP="00E91C7F">
      <w:pPr>
        <w:pStyle w:val="NoSpacing"/>
        <w:ind w:left="720" w:hanging="720"/>
      </w:pPr>
      <w:r>
        <w:t>(Short Duration)</w:t>
      </w:r>
      <w:r>
        <w:tab/>
      </w:r>
      <w:r>
        <w:tab/>
      </w:r>
      <w:r>
        <w:tab/>
      </w:r>
      <w:r>
        <w:tab/>
      </w:r>
      <w:r>
        <w:tab/>
        <w:t>0.18% - balance</w:t>
      </w:r>
    </w:p>
    <w:p w14:paraId="63B382FB" w14:textId="77777777" w:rsidR="00E91C7F" w:rsidRDefault="00E91C7F" w:rsidP="00E91C7F">
      <w:pPr>
        <w:pStyle w:val="NoSpacing"/>
        <w:ind w:left="720" w:hanging="1350"/>
      </w:pPr>
    </w:p>
    <w:p w14:paraId="78B4D00A" w14:textId="6C4C0105" w:rsidR="00E91C7F" w:rsidRDefault="00E91C7F" w:rsidP="00E91C7F">
      <w:pPr>
        <w:pStyle w:val="NoSpacing"/>
        <w:ind w:left="720" w:hanging="720"/>
      </w:pPr>
      <w:r>
        <w:t>Wells Fargo Asset Management</w:t>
      </w:r>
      <w:r>
        <w:tab/>
      </w:r>
      <w:r>
        <w:tab/>
      </w:r>
      <w:r>
        <w:tab/>
      </w:r>
      <w:r>
        <w:tab/>
        <w:t>0.09% - first $100 million</w:t>
      </w:r>
    </w:p>
    <w:p w14:paraId="4B9E0F4F" w14:textId="77777777" w:rsidR="00E91C7F" w:rsidRDefault="00E91C7F" w:rsidP="00E91C7F">
      <w:pPr>
        <w:pStyle w:val="NoSpacing"/>
        <w:ind w:left="720" w:hanging="720"/>
      </w:pPr>
      <w:r>
        <w:t>(Conservative Income and Short Duration)</w:t>
      </w:r>
      <w:r>
        <w:tab/>
      </w:r>
      <w:r>
        <w:tab/>
        <w:t>0.07% - balance</w:t>
      </w:r>
    </w:p>
    <w:p w14:paraId="09BE3753" w14:textId="77777777" w:rsidR="00E91C7F" w:rsidRDefault="00E91C7F" w:rsidP="00E91C7F">
      <w:pPr>
        <w:pStyle w:val="NoSpacing"/>
        <w:ind w:left="720" w:hanging="1350"/>
      </w:pPr>
    </w:p>
    <w:p w14:paraId="615D14A9" w14:textId="77777777" w:rsidR="00E91C7F" w:rsidRDefault="00E91C7F" w:rsidP="00E91C7F">
      <w:pPr>
        <w:pStyle w:val="NoSpacing"/>
        <w:ind w:left="720" w:hanging="720"/>
      </w:pPr>
      <w:r>
        <w:t xml:space="preserve">Attucks Asset Management </w:t>
      </w:r>
      <w:r>
        <w:tab/>
      </w:r>
      <w:r>
        <w:tab/>
      </w:r>
      <w:r>
        <w:tab/>
      </w:r>
      <w:r>
        <w:tab/>
        <w:t>0.35% flat fee</w:t>
      </w:r>
      <w:r>
        <w:tab/>
      </w:r>
      <w:r>
        <w:tab/>
      </w:r>
      <w:r>
        <w:tab/>
      </w:r>
      <w:r>
        <w:tab/>
      </w:r>
    </w:p>
    <w:p w14:paraId="4AEE895C" w14:textId="77777777" w:rsidR="00E91C7F" w:rsidRDefault="00E91C7F" w:rsidP="00E91C7F">
      <w:pPr>
        <w:pStyle w:val="NoSpacing"/>
        <w:ind w:left="720" w:hanging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1872D4" w14:textId="77777777" w:rsidR="00E91C7F" w:rsidRDefault="00E91C7F" w:rsidP="00E91C7F">
      <w:pPr>
        <w:pStyle w:val="Heading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University of Illinois System </w:t>
      </w:r>
    </w:p>
    <w:p w14:paraId="10F9F1C8" w14:textId="77777777" w:rsidR="00E91C7F" w:rsidRDefault="00E91C7F" w:rsidP="00E91C7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Investment Fee Schedule – Traditional Investments</w:t>
      </w:r>
    </w:p>
    <w:p w14:paraId="5FBD3310" w14:textId="77777777" w:rsidR="00E91C7F" w:rsidRDefault="00E91C7F" w:rsidP="00E91C7F">
      <w:pPr>
        <w:ind w:hanging="630"/>
        <w:rPr>
          <w:b/>
        </w:rPr>
      </w:pPr>
    </w:p>
    <w:p w14:paraId="785CC97F" w14:textId="77777777" w:rsidR="00E91C7F" w:rsidRDefault="00E91C7F" w:rsidP="00E91C7F">
      <w:r>
        <w:rPr>
          <w:b/>
        </w:rPr>
        <w:t>Firm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Terms</w:t>
      </w:r>
    </w:p>
    <w:p w14:paraId="1AAB016E" w14:textId="77777777" w:rsidR="00E91C7F" w:rsidRDefault="00E91C7F" w:rsidP="00E91C7F">
      <w:pPr>
        <w:pStyle w:val="NoSpacing"/>
        <w:ind w:left="720" w:hanging="720"/>
      </w:pPr>
      <w:r>
        <w:rPr>
          <w:u w:val="single"/>
        </w:rPr>
        <w:t>Fixed Income (Continued</w:t>
      </w:r>
      <w:r>
        <w:tab/>
      </w:r>
      <w:r>
        <w:tab/>
      </w:r>
      <w:r>
        <w:tab/>
      </w:r>
      <w:r>
        <w:tab/>
      </w:r>
      <w:r>
        <w:rPr>
          <w:u w:val="single"/>
        </w:rPr>
        <w:t>Management Fee</w:t>
      </w:r>
    </w:p>
    <w:p w14:paraId="2D6288D7" w14:textId="77777777" w:rsidR="00E91C7F" w:rsidRDefault="00E91C7F" w:rsidP="00E91C7F">
      <w:pPr>
        <w:pStyle w:val="NoSpacing"/>
        <w:ind w:left="720" w:hanging="720"/>
      </w:pPr>
      <w:r>
        <w:t>Vanguard Total Bond Market Index</w:t>
      </w:r>
      <w:r>
        <w:tab/>
      </w:r>
      <w:r>
        <w:tab/>
      </w:r>
      <w:r>
        <w:tab/>
        <w:t>0.05% flat fee</w:t>
      </w:r>
    </w:p>
    <w:p w14:paraId="38287C91" w14:textId="77777777" w:rsidR="00E91C7F" w:rsidRDefault="00E91C7F" w:rsidP="00E91C7F">
      <w:pPr>
        <w:pStyle w:val="NoSpacing"/>
        <w:ind w:left="720" w:hanging="1350"/>
      </w:pPr>
    </w:p>
    <w:p w14:paraId="043FA610" w14:textId="77777777" w:rsidR="00E91C7F" w:rsidRDefault="00E91C7F" w:rsidP="00E91C7F">
      <w:pPr>
        <w:pStyle w:val="NoSpacing"/>
        <w:ind w:left="720" w:hanging="720"/>
      </w:pPr>
      <w:r>
        <w:t>Artisan Partners</w:t>
      </w:r>
      <w:r>
        <w:tab/>
      </w:r>
      <w:r>
        <w:tab/>
      </w:r>
      <w:r>
        <w:tab/>
      </w:r>
      <w:r>
        <w:tab/>
      </w:r>
      <w:r>
        <w:tab/>
        <w:t>0.55% - first $250 million</w:t>
      </w:r>
    </w:p>
    <w:p w14:paraId="18D2700F" w14:textId="77777777" w:rsidR="00E91C7F" w:rsidRDefault="00E91C7F" w:rsidP="00E91C7F">
      <w:pPr>
        <w:pStyle w:val="NoSpacing"/>
        <w:ind w:left="720" w:hanging="720"/>
      </w:pPr>
      <w:r>
        <w:t>(High Yield Income Strategy)</w:t>
      </w:r>
      <w:r>
        <w:tab/>
      </w:r>
      <w:r>
        <w:tab/>
      </w:r>
      <w:r>
        <w:tab/>
      </w:r>
      <w:r>
        <w:tab/>
        <w:t>0.50% - above $250 million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21A46C" w14:textId="77777777" w:rsidR="00E91C7F" w:rsidRDefault="00E91C7F" w:rsidP="00E91C7F">
      <w:pPr>
        <w:pStyle w:val="NoSpacing"/>
        <w:ind w:left="720" w:hanging="720"/>
        <w:rPr>
          <w:u w:val="single"/>
        </w:rPr>
      </w:pPr>
      <w:r>
        <w:rPr>
          <w:u w:val="single"/>
        </w:rPr>
        <w:t>Equity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088090" w14:textId="77777777" w:rsidR="00E91C7F" w:rsidRDefault="00E91C7F" w:rsidP="009155DE">
      <w:pPr>
        <w:pStyle w:val="NoSpacing"/>
      </w:pPr>
    </w:p>
    <w:p w14:paraId="6E39108B" w14:textId="77777777" w:rsidR="00E91C7F" w:rsidRDefault="00E91C7F" w:rsidP="00E91C7F">
      <w:pPr>
        <w:pStyle w:val="NoSpacing"/>
        <w:ind w:left="720" w:hanging="720"/>
      </w:pPr>
      <w:r>
        <w:t>BlackRock</w:t>
      </w:r>
      <w:r>
        <w:tab/>
      </w:r>
      <w:r>
        <w:tab/>
      </w:r>
      <w:r>
        <w:tab/>
      </w:r>
      <w:r>
        <w:tab/>
      </w:r>
      <w:r>
        <w:tab/>
      </w:r>
      <w:r>
        <w:tab/>
        <w:t>0.055% flat fee</w:t>
      </w:r>
    </w:p>
    <w:p w14:paraId="1E3C84A2" w14:textId="77777777" w:rsidR="00E91C7F" w:rsidRDefault="00E91C7F" w:rsidP="00E91C7F">
      <w:pPr>
        <w:pStyle w:val="NoSpacing"/>
        <w:ind w:left="720" w:hanging="720"/>
      </w:pPr>
      <w:r>
        <w:t>(</w:t>
      </w:r>
      <w:proofErr w:type="spellStart"/>
      <w:r>
        <w:t>ESG</w:t>
      </w:r>
      <w:proofErr w:type="spellEnd"/>
      <w:r>
        <w:t xml:space="preserve"> U.S. All Cap Equity Fund)</w:t>
      </w:r>
    </w:p>
    <w:p w14:paraId="12B8F021" w14:textId="77777777" w:rsidR="00E91C7F" w:rsidRDefault="00E91C7F" w:rsidP="00E91C7F">
      <w:pPr>
        <w:pStyle w:val="NoSpacing"/>
        <w:ind w:left="720" w:hanging="1350"/>
      </w:pPr>
    </w:p>
    <w:p w14:paraId="5BE0DB15" w14:textId="77777777" w:rsidR="00E91C7F" w:rsidRDefault="00E91C7F" w:rsidP="00E91C7F">
      <w:pPr>
        <w:pStyle w:val="NoSpacing"/>
        <w:ind w:left="720" w:hanging="720"/>
      </w:pPr>
      <w:r>
        <w:t>Ariel Capital Management</w:t>
      </w:r>
      <w:r>
        <w:tab/>
      </w:r>
      <w:r>
        <w:tab/>
      </w:r>
      <w:r>
        <w:tab/>
      </w:r>
      <w:r>
        <w:tab/>
        <w:t>1.00% - first $10 million</w:t>
      </w:r>
    </w:p>
    <w:p w14:paraId="5C419E34" w14:textId="77777777" w:rsidR="00E91C7F" w:rsidRDefault="00E91C7F" w:rsidP="00E91C7F">
      <w:pPr>
        <w:pStyle w:val="NoSpacing"/>
        <w:ind w:left="720" w:hanging="720"/>
      </w:pPr>
      <w:r>
        <w:t>(Small Mid Cap Value)</w:t>
      </w:r>
      <w:r>
        <w:tab/>
      </w:r>
      <w:r>
        <w:tab/>
      </w:r>
      <w:r>
        <w:tab/>
      </w:r>
      <w:r>
        <w:tab/>
      </w:r>
      <w:r>
        <w:tab/>
        <w:t>0.75% - next $10 million</w:t>
      </w:r>
    </w:p>
    <w:p w14:paraId="5C5F081B" w14:textId="1ACE02BE" w:rsidR="00E91C7F" w:rsidRDefault="00E91C7F" w:rsidP="00E91C7F">
      <w:pPr>
        <w:pStyle w:val="NoSpacing"/>
        <w:ind w:left="720" w:hanging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0.50% - balance</w:t>
      </w:r>
    </w:p>
    <w:p w14:paraId="44C6DE22" w14:textId="77777777" w:rsidR="00E91C7F" w:rsidRDefault="00E91C7F" w:rsidP="00E91C7F">
      <w:pPr>
        <w:pStyle w:val="NoSpacing"/>
        <w:ind w:left="720" w:hanging="1350"/>
      </w:pPr>
    </w:p>
    <w:p w14:paraId="1C448E87" w14:textId="77777777" w:rsidR="00E91C7F" w:rsidRDefault="00E91C7F" w:rsidP="00E91C7F">
      <w:pPr>
        <w:pStyle w:val="NoSpacing"/>
        <w:ind w:left="720" w:hanging="720"/>
      </w:pPr>
      <w:r>
        <w:t>BlackRock</w:t>
      </w:r>
      <w:r>
        <w:tab/>
      </w:r>
      <w:r>
        <w:tab/>
      </w:r>
      <w:r>
        <w:tab/>
      </w:r>
      <w:r>
        <w:tab/>
      </w:r>
      <w:r>
        <w:tab/>
      </w:r>
      <w:r>
        <w:tab/>
        <w:t>0.0975% flat fee</w:t>
      </w:r>
    </w:p>
    <w:p w14:paraId="0D1C9229" w14:textId="77777777" w:rsidR="00E91C7F" w:rsidRDefault="00E91C7F" w:rsidP="00E91C7F">
      <w:pPr>
        <w:pStyle w:val="NoSpacing"/>
        <w:ind w:left="720" w:hanging="720"/>
      </w:pPr>
      <w:r>
        <w:t xml:space="preserve">(MSCI </w:t>
      </w:r>
      <w:proofErr w:type="spellStart"/>
      <w:r>
        <w:t>ACWI</w:t>
      </w:r>
      <w:proofErr w:type="spellEnd"/>
      <w:r>
        <w:t xml:space="preserve"> ex-US IMI Index Fund B)</w:t>
      </w:r>
    </w:p>
    <w:p w14:paraId="1C1FDC74" w14:textId="77777777" w:rsidR="00E91C7F" w:rsidRDefault="00E91C7F" w:rsidP="00E91C7F">
      <w:pPr>
        <w:pStyle w:val="NoSpacing"/>
      </w:pPr>
    </w:p>
    <w:p w14:paraId="0D591267" w14:textId="77777777" w:rsidR="00E91C7F" w:rsidRDefault="00E91C7F" w:rsidP="00E91C7F">
      <w:pPr>
        <w:pStyle w:val="NoSpacing"/>
        <w:ind w:left="720" w:hanging="720"/>
        <w:rPr>
          <w:u w:val="single"/>
        </w:rPr>
      </w:pPr>
      <w:r>
        <w:rPr>
          <w:u w:val="single"/>
        </w:rPr>
        <w:t>Real Estate Investment Trust</w:t>
      </w:r>
    </w:p>
    <w:p w14:paraId="2D23BF1A" w14:textId="77777777" w:rsidR="00E91C7F" w:rsidRDefault="00E91C7F" w:rsidP="00E91C7F">
      <w:pPr>
        <w:pStyle w:val="NoSpacing"/>
        <w:ind w:left="720" w:hanging="720"/>
      </w:pPr>
      <w:r>
        <w:t>Vanguard</w:t>
      </w:r>
      <w:r>
        <w:tab/>
      </w:r>
      <w:r>
        <w:tab/>
      </w:r>
      <w:r>
        <w:tab/>
      </w:r>
      <w:r>
        <w:tab/>
      </w:r>
      <w:r>
        <w:tab/>
      </w:r>
      <w:r>
        <w:tab/>
        <w:t>0.09% flat fee</w:t>
      </w:r>
    </w:p>
    <w:p w14:paraId="4F671F70" w14:textId="77777777" w:rsidR="00E91C7F" w:rsidRDefault="00E91C7F" w:rsidP="00E91C7F">
      <w:pPr>
        <w:pStyle w:val="NoSpacing"/>
        <w:ind w:left="720" w:hanging="720"/>
      </w:pPr>
      <w:r>
        <w:t>(Real Estate Investment Trust Index Fund)</w:t>
      </w:r>
    </w:p>
    <w:p w14:paraId="422DE11B" w14:textId="77777777" w:rsidR="00E91C7F" w:rsidRDefault="00E91C7F" w:rsidP="00E91C7F">
      <w:pPr>
        <w:pStyle w:val="NoSpacing"/>
        <w:ind w:left="720" w:hanging="1350"/>
      </w:pPr>
      <w:r>
        <w:tab/>
      </w:r>
    </w:p>
    <w:p w14:paraId="7521A558" w14:textId="77777777" w:rsidR="00E91C7F" w:rsidRDefault="00E91C7F" w:rsidP="00E91C7F">
      <w:pPr>
        <w:pStyle w:val="NoSpacing"/>
        <w:ind w:left="720" w:hanging="1350"/>
      </w:pPr>
    </w:p>
    <w:p w14:paraId="26D10753" w14:textId="77777777" w:rsidR="00E91C7F" w:rsidRDefault="00E91C7F" w:rsidP="00E91C7F">
      <w:pPr>
        <w:pStyle w:val="NoSpacing"/>
        <w:ind w:left="720" w:hanging="1350"/>
      </w:pPr>
    </w:p>
    <w:p w14:paraId="3C12B36D" w14:textId="77777777" w:rsidR="00E91C7F" w:rsidRDefault="00E91C7F" w:rsidP="00E91C7F">
      <w:pPr>
        <w:pStyle w:val="NoSpacing"/>
        <w:ind w:left="720" w:hanging="1350"/>
      </w:pPr>
    </w:p>
    <w:p w14:paraId="347A1FE2" w14:textId="77777777" w:rsidR="00E91C7F" w:rsidRDefault="00E91C7F" w:rsidP="00E91C7F">
      <w:pPr>
        <w:pStyle w:val="NoSpacing"/>
        <w:ind w:left="720" w:hanging="1350"/>
      </w:pPr>
    </w:p>
    <w:p w14:paraId="4C25FF49" w14:textId="77777777" w:rsidR="00E91C7F" w:rsidRDefault="00E91C7F" w:rsidP="00E91C7F">
      <w:pPr>
        <w:pStyle w:val="NoSpacing"/>
        <w:ind w:left="720" w:hanging="1350"/>
      </w:pPr>
    </w:p>
    <w:p w14:paraId="68BF79B8" w14:textId="77777777" w:rsidR="00E91C7F" w:rsidRDefault="00E91C7F" w:rsidP="00E91C7F">
      <w:pPr>
        <w:pStyle w:val="NoSpacing"/>
        <w:ind w:left="720" w:hanging="1350"/>
      </w:pPr>
    </w:p>
    <w:p w14:paraId="14AD7EC2" w14:textId="77777777" w:rsidR="00E91C7F" w:rsidRDefault="00E91C7F" w:rsidP="00E91C7F">
      <w:pPr>
        <w:pStyle w:val="Heading1"/>
        <w:spacing w:before="0" w:after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14:paraId="5EE49611" w14:textId="77777777" w:rsidR="00E91C7F" w:rsidRDefault="00E91C7F" w:rsidP="00E91C7F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University of Illinois System</w:t>
      </w:r>
    </w:p>
    <w:p w14:paraId="025DEFDC" w14:textId="77777777" w:rsidR="00E91C7F" w:rsidRDefault="00E91C7F" w:rsidP="00E91C7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Investment Fee Schedule – Alternative Investments</w:t>
      </w:r>
    </w:p>
    <w:p w14:paraId="68C76AB0" w14:textId="77777777" w:rsidR="00E91C7F" w:rsidRDefault="00E91C7F" w:rsidP="00E91C7F"/>
    <w:p w14:paraId="4554E2BE" w14:textId="77777777" w:rsidR="00E91C7F" w:rsidRDefault="00E91C7F" w:rsidP="00E91C7F">
      <w:r>
        <w:rPr>
          <w:b/>
        </w:rPr>
        <w:t>Firm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Terms</w:t>
      </w:r>
    </w:p>
    <w:p w14:paraId="648B66B7" w14:textId="77777777" w:rsidR="00E91C7F" w:rsidRDefault="00E91C7F" w:rsidP="00E91C7F">
      <w:pPr>
        <w:pStyle w:val="NoSpacing"/>
      </w:pPr>
      <w:r>
        <w:rPr>
          <w:u w:val="single"/>
        </w:rPr>
        <w:t>Private Capital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Management Fee</w:t>
      </w:r>
      <w:r>
        <w:tab/>
      </w:r>
      <w:r>
        <w:tab/>
      </w:r>
      <w:r>
        <w:rPr>
          <w:u w:val="single"/>
        </w:rPr>
        <w:t>Carried Interest</w:t>
      </w:r>
    </w:p>
    <w:p w14:paraId="52F07690" w14:textId="77777777" w:rsidR="00E91C7F" w:rsidRDefault="00E91C7F" w:rsidP="00E91C7F">
      <w:pPr>
        <w:pStyle w:val="NoSpacing"/>
        <w:ind w:hanging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01445B" w14:textId="77777777" w:rsidR="00E91C7F" w:rsidRDefault="00E91C7F" w:rsidP="00E91C7F">
      <w:pPr>
        <w:pStyle w:val="NoSpacing"/>
      </w:pPr>
      <w:r>
        <w:t>Adams Street Partners</w:t>
      </w:r>
    </w:p>
    <w:p w14:paraId="41A8534A" w14:textId="77777777" w:rsidR="00E91C7F" w:rsidRDefault="00E91C7F" w:rsidP="00E91C7F">
      <w:pPr>
        <w:pStyle w:val="NoSpacing"/>
        <w:ind w:left="720" w:hanging="720"/>
      </w:pPr>
      <w:r>
        <w:t>ASP 2004 U.S. Fund</w:t>
      </w:r>
      <w:r>
        <w:tab/>
      </w:r>
      <w:r>
        <w:tab/>
      </w:r>
      <w:r>
        <w:tab/>
      </w:r>
      <w:r>
        <w:tab/>
      </w:r>
      <w:r>
        <w:tab/>
        <w:t>0.00%</w:t>
      </w:r>
      <w:r>
        <w:tab/>
      </w:r>
      <w:r>
        <w:tab/>
      </w:r>
      <w:r>
        <w:tab/>
      </w:r>
      <w:r>
        <w:tab/>
        <w:t>10% on Secondary</w:t>
      </w:r>
    </w:p>
    <w:p w14:paraId="71901E03" w14:textId="77777777" w:rsidR="00E91C7F" w:rsidRDefault="00E91C7F" w:rsidP="00E91C7F">
      <w:pPr>
        <w:pStyle w:val="NoSpacing"/>
        <w:ind w:left="720" w:hanging="720"/>
      </w:pPr>
      <w:r>
        <w:t>ASP 2004 Non-U.S. Fund</w:t>
      </w:r>
      <w:r>
        <w:tab/>
      </w:r>
      <w:r>
        <w:tab/>
      </w:r>
      <w:r>
        <w:tab/>
      </w:r>
      <w:r>
        <w:tab/>
        <w:t>0.00%</w:t>
      </w:r>
      <w:r>
        <w:tab/>
      </w:r>
      <w:r>
        <w:tab/>
      </w:r>
      <w:r>
        <w:tab/>
      </w:r>
      <w:r>
        <w:tab/>
        <w:t>10% on Secondary</w:t>
      </w:r>
    </w:p>
    <w:p w14:paraId="40DC5B04" w14:textId="77777777" w:rsidR="00E91C7F" w:rsidRDefault="00E91C7F" w:rsidP="00E91C7F">
      <w:pPr>
        <w:pStyle w:val="NoSpacing"/>
        <w:ind w:left="720" w:hanging="1350"/>
      </w:pPr>
    </w:p>
    <w:p w14:paraId="609C8117" w14:textId="77777777" w:rsidR="00E91C7F" w:rsidRDefault="00E91C7F" w:rsidP="00E91C7F">
      <w:pPr>
        <w:pStyle w:val="NoSpacing"/>
        <w:ind w:left="720" w:hanging="720"/>
      </w:pPr>
      <w:r>
        <w:t>ASP 2006 U.S. Fund</w:t>
      </w:r>
      <w:r>
        <w:tab/>
      </w:r>
      <w:r>
        <w:tab/>
      </w:r>
      <w:r>
        <w:tab/>
      </w:r>
      <w:r>
        <w:tab/>
      </w:r>
      <w:r>
        <w:tab/>
        <w:t>0.10%</w:t>
      </w:r>
      <w:r>
        <w:tab/>
      </w:r>
      <w:r>
        <w:tab/>
      </w:r>
      <w:r>
        <w:tab/>
      </w:r>
      <w:r>
        <w:tab/>
        <w:t>10% on Secondary</w:t>
      </w:r>
    </w:p>
    <w:p w14:paraId="6F114AFC" w14:textId="77777777" w:rsidR="00E91C7F" w:rsidRDefault="00E91C7F" w:rsidP="00E91C7F">
      <w:pPr>
        <w:pStyle w:val="NoSpacing"/>
        <w:ind w:left="720" w:hanging="720"/>
      </w:pPr>
      <w:r>
        <w:t>ASP 2006 Non-U.S. Fund</w:t>
      </w:r>
      <w:r>
        <w:tab/>
      </w:r>
      <w:r>
        <w:tab/>
      </w:r>
      <w:r>
        <w:tab/>
      </w:r>
      <w:r>
        <w:tab/>
        <w:t>0.10%</w:t>
      </w:r>
      <w:r>
        <w:tab/>
      </w:r>
      <w:r>
        <w:tab/>
      </w:r>
      <w:r>
        <w:tab/>
      </w:r>
      <w:r>
        <w:tab/>
        <w:t>10% on Secondary</w:t>
      </w:r>
    </w:p>
    <w:p w14:paraId="05769A84" w14:textId="77777777" w:rsidR="00E91C7F" w:rsidRDefault="00E91C7F" w:rsidP="00E91C7F">
      <w:pPr>
        <w:pStyle w:val="NoSpacing"/>
        <w:ind w:left="720" w:hanging="720"/>
      </w:pPr>
      <w:r>
        <w:t>ASP 2006 Direct Fund</w:t>
      </w:r>
      <w:r>
        <w:tab/>
      </w:r>
      <w:r>
        <w:tab/>
      </w:r>
      <w:r>
        <w:tab/>
      </w:r>
      <w:r>
        <w:tab/>
      </w:r>
      <w:r>
        <w:tab/>
        <w:t>0.00%</w:t>
      </w:r>
      <w:r>
        <w:tab/>
      </w:r>
      <w:r>
        <w:tab/>
      </w:r>
      <w:r>
        <w:tab/>
      </w:r>
      <w:r>
        <w:tab/>
        <w:t>20%</w:t>
      </w:r>
    </w:p>
    <w:p w14:paraId="32125BE6" w14:textId="77777777" w:rsidR="00E91C7F" w:rsidRDefault="00E91C7F" w:rsidP="00E91C7F">
      <w:pPr>
        <w:pStyle w:val="NoSpacing"/>
        <w:ind w:left="720" w:hanging="1350"/>
      </w:pPr>
    </w:p>
    <w:p w14:paraId="055C44E6" w14:textId="77777777" w:rsidR="00E91C7F" w:rsidRDefault="00E91C7F" w:rsidP="00E91C7F">
      <w:pPr>
        <w:pStyle w:val="NoSpacing"/>
        <w:ind w:left="720" w:hanging="720"/>
      </w:pPr>
      <w:r>
        <w:t>ASP 2007 U.S. Fund</w:t>
      </w:r>
      <w:r>
        <w:tab/>
      </w:r>
      <w:r>
        <w:tab/>
      </w:r>
      <w:r>
        <w:tab/>
      </w:r>
      <w:r>
        <w:tab/>
      </w:r>
      <w:r>
        <w:tab/>
        <w:t>0.20%</w:t>
      </w:r>
      <w:r>
        <w:tab/>
      </w:r>
      <w:r>
        <w:tab/>
      </w:r>
      <w:r>
        <w:tab/>
      </w:r>
      <w:r>
        <w:tab/>
        <w:t>10% on Secondary</w:t>
      </w:r>
    </w:p>
    <w:p w14:paraId="3FCBE3D4" w14:textId="77777777" w:rsidR="00E91C7F" w:rsidRDefault="00E91C7F" w:rsidP="00E91C7F">
      <w:pPr>
        <w:pStyle w:val="NoSpacing"/>
        <w:ind w:left="720" w:hanging="720"/>
      </w:pPr>
      <w:r>
        <w:t>ASP 2007 Non-U.S. Fund</w:t>
      </w:r>
      <w:r>
        <w:tab/>
      </w:r>
      <w:r>
        <w:tab/>
      </w:r>
      <w:r>
        <w:tab/>
      </w:r>
      <w:r>
        <w:tab/>
        <w:t>0.20%</w:t>
      </w:r>
      <w:r>
        <w:tab/>
      </w:r>
      <w:r>
        <w:tab/>
      </w:r>
      <w:r>
        <w:tab/>
      </w:r>
      <w:r>
        <w:tab/>
        <w:t>10% on Secondary</w:t>
      </w:r>
    </w:p>
    <w:p w14:paraId="0BEFFF4E" w14:textId="77777777" w:rsidR="00E91C7F" w:rsidRDefault="00E91C7F" w:rsidP="00E91C7F">
      <w:pPr>
        <w:pStyle w:val="NoSpacing"/>
        <w:ind w:left="720" w:hanging="720"/>
      </w:pPr>
      <w:r>
        <w:t>ASP 2007 Direct Fund</w:t>
      </w:r>
      <w:r>
        <w:tab/>
      </w:r>
      <w:r>
        <w:tab/>
      </w:r>
      <w:r>
        <w:tab/>
      </w:r>
      <w:r>
        <w:tab/>
      </w:r>
      <w:r>
        <w:tab/>
        <w:t>0.20%</w:t>
      </w:r>
      <w:r>
        <w:tab/>
      </w:r>
      <w:r>
        <w:tab/>
      </w:r>
      <w:r>
        <w:tab/>
      </w:r>
      <w:r>
        <w:tab/>
        <w:t>20%</w:t>
      </w:r>
    </w:p>
    <w:p w14:paraId="11220B29" w14:textId="77777777" w:rsidR="00E91C7F" w:rsidRDefault="00E91C7F" w:rsidP="00E91C7F">
      <w:pPr>
        <w:pStyle w:val="NoSpacing"/>
        <w:ind w:left="720" w:hanging="1350"/>
      </w:pPr>
    </w:p>
    <w:p w14:paraId="6212E3BB" w14:textId="77777777" w:rsidR="00E91C7F" w:rsidRDefault="00E91C7F" w:rsidP="00E91C7F">
      <w:pPr>
        <w:pStyle w:val="NoSpacing"/>
        <w:ind w:left="720" w:hanging="720"/>
      </w:pPr>
      <w:r>
        <w:t>ASP 2008 U.S. Fund</w:t>
      </w:r>
      <w:r>
        <w:tab/>
      </w:r>
      <w:r>
        <w:tab/>
      </w:r>
      <w:r>
        <w:tab/>
      </w:r>
      <w:r>
        <w:tab/>
      </w:r>
      <w:r>
        <w:tab/>
        <w:t>0.30%</w:t>
      </w:r>
      <w:r>
        <w:tab/>
      </w:r>
      <w:r>
        <w:tab/>
      </w:r>
      <w:r>
        <w:tab/>
      </w:r>
      <w:r>
        <w:tab/>
        <w:t>10% on Secondary</w:t>
      </w:r>
    </w:p>
    <w:p w14:paraId="09B773D9" w14:textId="77777777" w:rsidR="00E91C7F" w:rsidRDefault="00E91C7F" w:rsidP="00E91C7F">
      <w:pPr>
        <w:pStyle w:val="NoSpacing"/>
        <w:ind w:left="720" w:hanging="720"/>
      </w:pPr>
      <w:r>
        <w:t>ASP 2008 Non-U.S. Fund</w:t>
      </w:r>
      <w:r>
        <w:tab/>
      </w:r>
      <w:r>
        <w:tab/>
      </w:r>
      <w:r>
        <w:tab/>
      </w:r>
      <w:r>
        <w:tab/>
        <w:t>0.30%</w:t>
      </w:r>
      <w:r>
        <w:tab/>
      </w:r>
      <w:r>
        <w:tab/>
      </w:r>
      <w:r>
        <w:tab/>
      </w:r>
      <w:r>
        <w:tab/>
        <w:t>10% on Secondary</w:t>
      </w:r>
    </w:p>
    <w:p w14:paraId="5DE4096C" w14:textId="77777777" w:rsidR="00E91C7F" w:rsidRDefault="00E91C7F" w:rsidP="00E91C7F">
      <w:pPr>
        <w:pStyle w:val="NoSpacing"/>
        <w:ind w:left="720" w:hanging="720"/>
      </w:pPr>
      <w:r>
        <w:t>ASP 2008 Direct Fund</w:t>
      </w:r>
      <w:r>
        <w:tab/>
      </w:r>
      <w:r>
        <w:tab/>
      </w:r>
      <w:r>
        <w:tab/>
      </w:r>
      <w:r>
        <w:tab/>
      </w:r>
      <w:r>
        <w:tab/>
        <w:t>0.39%</w:t>
      </w:r>
      <w:r>
        <w:tab/>
      </w:r>
      <w:r>
        <w:tab/>
      </w:r>
      <w:r>
        <w:tab/>
      </w:r>
      <w:r>
        <w:tab/>
        <w:t>20%</w:t>
      </w:r>
    </w:p>
    <w:p w14:paraId="104A59EA" w14:textId="77777777" w:rsidR="00E91C7F" w:rsidRDefault="00E91C7F" w:rsidP="00E91C7F">
      <w:pPr>
        <w:pStyle w:val="NoSpacing"/>
        <w:ind w:left="720" w:hanging="1350"/>
      </w:pPr>
    </w:p>
    <w:p w14:paraId="0F682C25" w14:textId="77777777" w:rsidR="00E91C7F" w:rsidRDefault="00E91C7F" w:rsidP="00E91C7F">
      <w:pPr>
        <w:pStyle w:val="NoSpacing"/>
        <w:ind w:left="720" w:hanging="720"/>
      </w:pPr>
      <w:r>
        <w:t>ASP 2009 U.S. Fund</w:t>
      </w:r>
      <w:r>
        <w:tab/>
      </w:r>
      <w:r>
        <w:tab/>
      </w:r>
      <w:r>
        <w:tab/>
      </w:r>
      <w:r>
        <w:tab/>
      </w:r>
      <w:r>
        <w:tab/>
        <w:t>0.40%</w:t>
      </w:r>
      <w:r>
        <w:tab/>
      </w:r>
      <w:r>
        <w:tab/>
      </w:r>
      <w:r>
        <w:tab/>
      </w:r>
      <w:r>
        <w:tab/>
        <w:t>10% on Secondary</w:t>
      </w:r>
    </w:p>
    <w:p w14:paraId="2A723B85" w14:textId="77777777" w:rsidR="00E91C7F" w:rsidRDefault="00E91C7F" w:rsidP="00E91C7F">
      <w:pPr>
        <w:pStyle w:val="NoSpacing"/>
        <w:ind w:left="720" w:hanging="720"/>
      </w:pPr>
      <w:r>
        <w:t>ASP 2009 Non-U.S. Developed Fund</w:t>
      </w:r>
      <w:r>
        <w:tab/>
      </w:r>
      <w:r>
        <w:tab/>
      </w:r>
      <w:r>
        <w:tab/>
        <w:t>0.40%</w:t>
      </w:r>
      <w:r>
        <w:tab/>
      </w:r>
      <w:r>
        <w:tab/>
      </w:r>
      <w:r>
        <w:tab/>
      </w:r>
      <w:r>
        <w:tab/>
        <w:t>10% on Secondary</w:t>
      </w:r>
    </w:p>
    <w:p w14:paraId="7B621A01" w14:textId="77777777" w:rsidR="00E91C7F" w:rsidRDefault="00E91C7F" w:rsidP="00E91C7F">
      <w:pPr>
        <w:pStyle w:val="NoSpacing"/>
        <w:ind w:left="720" w:hanging="720"/>
      </w:pPr>
      <w:r>
        <w:t>ASP 2009 Non-U.S. Emerging Markets Fund</w:t>
      </w:r>
      <w:r>
        <w:tab/>
      </w:r>
      <w:r>
        <w:tab/>
        <w:t>0.40%</w:t>
      </w:r>
      <w:r>
        <w:tab/>
      </w:r>
      <w:r>
        <w:tab/>
      </w:r>
      <w:r>
        <w:tab/>
      </w:r>
      <w:r>
        <w:tab/>
        <w:t>10% on Secondary</w:t>
      </w:r>
    </w:p>
    <w:p w14:paraId="7D8C9D82" w14:textId="77777777" w:rsidR="00E91C7F" w:rsidRDefault="00E91C7F" w:rsidP="00E91C7F">
      <w:pPr>
        <w:pStyle w:val="NoSpacing"/>
        <w:ind w:left="720" w:hanging="720"/>
      </w:pPr>
      <w:r>
        <w:t>ASP 2009 Direct Fund</w:t>
      </w:r>
      <w:r>
        <w:tab/>
      </w:r>
      <w:r>
        <w:tab/>
      </w:r>
      <w:r>
        <w:tab/>
      </w:r>
      <w:r>
        <w:tab/>
      </w:r>
      <w:r>
        <w:tab/>
        <w:t>0.59%</w:t>
      </w:r>
      <w:r>
        <w:tab/>
      </w:r>
      <w:r>
        <w:tab/>
      </w:r>
      <w:r>
        <w:tab/>
      </w:r>
      <w:r>
        <w:tab/>
        <w:t>20%</w:t>
      </w:r>
    </w:p>
    <w:p w14:paraId="16837BE4" w14:textId="77777777" w:rsidR="00E91C7F" w:rsidRDefault="00E91C7F" w:rsidP="00E91C7F">
      <w:pPr>
        <w:pStyle w:val="NoSpacing"/>
        <w:ind w:left="720" w:hanging="1350"/>
      </w:pPr>
    </w:p>
    <w:p w14:paraId="4D349073" w14:textId="77777777" w:rsidR="00E91C7F" w:rsidRDefault="00E91C7F" w:rsidP="00E91C7F">
      <w:pPr>
        <w:pStyle w:val="NoSpacing"/>
        <w:ind w:left="720" w:hanging="720"/>
      </w:pPr>
      <w:r>
        <w:t>ASP 2010 U.S. Fund</w:t>
      </w:r>
      <w:r>
        <w:tab/>
      </w:r>
      <w:r>
        <w:tab/>
      </w:r>
      <w:r>
        <w:tab/>
      </w:r>
      <w:r>
        <w:tab/>
      </w:r>
      <w:r>
        <w:tab/>
        <w:t>0.50%</w:t>
      </w:r>
      <w:r>
        <w:tab/>
      </w:r>
      <w:r>
        <w:tab/>
      </w:r>
      <w:r>
        <w:tab/>
      </w:r>
      <w:r>
        <w:tab/>
        <w:t>10% on Secondary</w:t>
      </w:r>
    </w:p>
    <w:p w14:paraId="74967593" w14:textId="77777777" w:rsidR="00E91C7F" w:rsidRDefault="00E91C7F" w:rsidP="00E91C7F">
      <w:pPr>
        <w:pStyle w:val="NoSpacing"/>
        <w:ind w:left="720" w:hanging="720"/>
      </w:pPr>
      <w:r>
        <w:t>ASP 2010 Non-U.S. Developed Fund</w:t>
      </w:r>
      <w:r>
        <w:tab/>
      </w:r>
      <w:r>
        <w:tab/>
      </w:r>
      <w:r>
        <w:tab/>
        <w:t>0.50%</w:t>
      </w:r>
      <w:r>
        <w:tab/>
      </w:r>
      <w:r>
        <w:tab/>
      </w:r>
      <w:r>
        <w:tab/>
      </w:r>
      <w:r>
        <w:tab/>
        <w:t>10% on Secondary</w:t>
      </w:r>
    </w:p>
    <w:p w14:paraId="4B297486" w14:textId="77777777" w:rsidR="00E91C7F" w:rsidRDefault="00E91C7F" w:rsidP="00E91C7F">
      <w:pPr>
        <w:pStyle w:val="NoSpacing"/>
        <w:ind w:left="720" w:hanging="720"/>
      </w:pPr>
      <w:r>
        <w:t>ASP 2010 Non-U.S. Emerging Markets Fund</w:t>
      </w:r>
      <w:r>
        <w:tab/>
      </w:r>
      <w:r>
        <w:tab/>
        <w:t>0.50%</w:t>
      </w:r>
      <w:r>
        <w:tab/>
      </w:r>
      <w:r>
        <w:tab/>
      </w:r>
      <w:r>
        <w:tab/>
      </w:r>
      <w:r>
        <w:tab/>
        <w:t>10% on Secondary</w:t>
      </w:r>
    </w:p>
    <w:p w14:paraId="106816B8" w14:textId="77777777" w:rsidR="00E91C7F" w:rsidRDefault="00E91C7F" w:rsidP="00E91C7F">
      <w:pPr>
        <w:pStyle w:val="NoSpacing"/>
        <w:ind w:left="720" w:hanging="720"/>
      </w:pPr>
      <w:r>
        <w:t>ASP 2010 Direct Fund</w:t>
      </w:r>
      <w:r>
        <w:tab/>
      </w:r>
      <w:r>
        <w:tab/>
      </w:r>
      <w:r>
        <w:tab/>
      </w:r>
      <w:r>
        <w:tab/>
      </w:r>
      <w:r>
        <w:tab/>
        <w:t>0.79%</w:t>
      </w:r>
      <w:r>
        <w:tab/>
      </w:r>
      <w:r>
        <w:tab/>
      </w:r>
      <w:r>
        <w:tab/>
      </w:r>
      <w:r>
        <w:tab/>
        <w:t>20%</w:t>
      </w:r>
    </w:p>
    <w:p w14:paraId="043C42C0" w14:textId="77777777" w:rsidR="00E91C7F" w:rsidRDefault="00E91C7F" w:rsidP="00E91C7F">
      <w:pPr>
        <w:pStyle w:val="NoSpacing"/>
        <w:ind w:left="720" w:hanging="1350"/>
      </w:pPr>
    </w:p>
    <w:p w14:paraId="16D9722E" w14:textId="77777777" w:rsidR="00E91C7F" w:rsidRDefault="00E91C7F" w:rsidP="00E91C7F">
      <w:pPr>
        <w:pStyle w:val="NoSpacing"/>
        <w:ind w:left="720" w:hanging="720"/>
      </w:pPr>
      <w:r>
        <w:t>ASP 2011 U.S. Fund</w:t>
      </w:r>
      <w:r>
        <w:tab/>
      </w:r>
      <w:r>
        <w:tab/>
      </w:r>
      <w:r>
        <w:tab/>
      </w:r>
      <w:r>
        <w:tab/>
      </w:r>
      <w:r>
        <w:tab/>
        <w:t>0.60%</w:t>
      </w:r>
      <w:r>
        <w:tab/>
      </w:r>
      <w:r>
        <w:tab/>
      </w:r>
      <w:r>
        <w:tab/>
      </w:r>
      <w:r>
        <w:tab/>
        <w:t>10% on Secondary</w:t>
      </w:r>
    </w:p>
    <w:p w14:paraId="2EFE0B8E" w14:textId="77777777" w:rsidR="00E91C7F" w:rsidRDefault="00E91C7F" w:rsidP="00E91C7F">
      <w:pPr>
        <w:pStyle w:val="NoSpacing"/>
        <w:ind w:left="720" w:hanging="720"/>
      </w:pPr>
      <w:r>
        <w:t>ASP 2011 Non-U.S. Developed Fund</w:t>
      </w:r>
      <w:r>
        <w:tab/>
      </w:r>
      <w:r>
        <w:tab/>
      </w:r>
      <w:r>
        <w:tab/>
        <w:t>0.60%</w:t>
      </w:r>
      <w:r>
        <w:tab/>
      </w:r>
      <w:r>
        <w:tab/>
      </w:r>
      <w:r>
        <w:tab/>
      </w:r>
      <w:r>
        <w:tab/>
        <w:t>10% on Secondary</w:t>
      </w:r>
    </w:p>
    <w:p w14:paraId="630E0CF1" w14:textId="77777777" w:rsidR="00E91C7F" w:rsidRDefault="00E91C7F" w:rsidP="00E91C7F">
      <w:pPr>
        <w:pStyle w:val="NoSpacing"/>
        <w:ind w:left="720" w:hanging="720"/>
      </w:pPr>
      <w:r>
        <w:t>ASP 2011 Non-U.S. Emerging Markets Fund</w:t>
      </w:r>
      <w:r>
        <w:tab/>
      </w:r>
      <w:r>
        <w:tab/>
        <w:t>0.60%</w:t>
      </w:r>
      <w:r>
        <w:tab/>
      </w:r>
      <w:r>
        <w:tab/>
      </w:r>
      <w:r>
        <w:tab/>
      </w:r>
      <w:r>
        <w:tab/>
        <w:t>10% on Secondary</w:t>
      </w:r>
    </w:p>
    <w:p w14:paraId="2D1368E5" w14:textId="77777777" w:rsidR="00E91C7F" w:rsidRDefault="00E91C7F" w:rsidP="00E91C7F">
      <w:pPr>
        <w:pStyle w:val="NoSpacing"/>
        <w:ind w:left="720" w:hanging="720"/>
      </w:pPr>
      <w:r>
        <w:t>ASP 2011 Direct Fund</w:t>
      </w:r>
      <w:r>
        <w:tab/>
      </w:r>
      <w:r>
        <w:tab/>
      </w:r>
      <w:r>
        <w:tab/>
      </w:r>
      <w:r>
        <w:tab/>
      </w:r>
      <w:r>
        <w:tab/>
        <w:t>0.99%</w:t>
      </w:r>
      <w:r>
        <w:tab/>
      </w:r>
      <w:r>
        <w:tab/>
      </w:r>
      <w:r>
        <w:tab/>
      </w:r>
      <w:r>
        <w:tab/>
        <w:t xml:space="preserve">20% </w:t>
      </w:r>
    </w:p>
    <w:p w14:paraId="5CABEFE2" w14:textId="77777777" w:rsidR="00E91C7F" w:rsidRDefault="00E91C7F" w:rsidP="00E91C7F">
      <w:pPr>
        <w:pStyle w:val="NoSpacing"/>
        <w:ind w:left="720" w:hanging="1350"/>
      </w:pPr>
    </w:p>
    <w:p w14:paraId="4B1E9102" w14:textId="212B7256" w:rsidR="00E91C7F" w:rsidRDefault="00E91C7F" w:rsidP="00E91C7F">
      <w:pPr>
        <w:pStyle w:val="NoSpacing"/>
        <w:ind w:left="4320" w:hanging="4320"/>
      </w:pPr>
      <w:r>
        <w:t>ASP 2013 Global Fund</w:t>
      </w:r>
      <w:r>
        <w:tab/>
      </w:r>
      <w:r>
        <w:tab/>
        <w:t>0.86%</w:t>
      </w:r>
      <w:r>
        <w:tab/>
      </w:r>
      <w:r>
        <w:tab/>
      </w:r>
      <w:r>
        <w:tab/>
      </w:r>
      <w:r>
        <w:tab/>
        <w:t xml:space="preserve">10% - Secondary &amp; Co-           </w:t>
      </w:r>
      <w:r>
        <w:tab/>
      </w:r>
      <w:r>
        <w:tab/>
      </w:r>
      <w:r>
        <w:tab/>
      </w:r>
      <w:r>
        <w:tab/>
      </w:r>
      <w:r>
        <w:tab/>
        <w:t>Investment, 20% Direct</w:t>
      </w:r>
    </w:p>
    <w:p w14:paraId="6EADE6BF" w14:textId="77777777" w:rsidR="00E91C7F" w:rsidRDefault="00E91C7F" w:rsidP="00E91C7F">
      <w:pPr>
        <w:pStyle w:val="NoSpacing"/>
        <w:ind w:left="720" w:hanging="1350"/>
      </w:pPr>
    </w:p>
    <w:p w14:paraId="207A123E" w14:textId="77777777" w:rsidR="00E91C7F" w:rsidRDefault="00E91C7F" w:rsidP="00E91C7F">
      <w:pPr>
        <w:pStyle w:val="NoSpacing"/>
        <w:ind w:left="1440" w:hanging="1620"/>
      </w:pPr>
      <w:r>
        <w:t>ASP Co-Investment Fund III</w:t>
      </w:r>
      <w:r>
        <w:tab/>
      </w:r>
      <w:r>
        <w:tab/>
      </w:r>
      <w:r>
        <w:tab/>
      </w:r>
      <w:r>
        <w:tab/>
        <w:t>0.83%</w:t>
      </w:r>
      <w:r>
        <w:tab/>
      </w:r>
      <w:r>
        <w:tab/>
      </w:r>
      <w:r>
        <w:tab/>
      </w:r>
      <w:r>
        <w:tab/>
        <w:t xml:space="preserve">10% </w:t>
      </w:r>
    </w:p>
    <w:p w14:paraId="061A9AE3" w14:textId="77777777" w:rsidR="00E91C7F" w:rsidRDefault="00E91C7F" w:rsidP="00E91C7F">
      <w:pPr>
        <w:pStyle w:val="NoSpacing"/>
        <w:numPr>
          <w:ilvl w:val="0"/>
          <w:numId w:val="25"/>
        </w:numPr>
        <w:ind w:left="-180" w:hanging="450"/>
        <w:rPr>
          <w:sz w:val="18"/>
          <w:szCs w:val="18"/>
        </w:rPr>
      </w:pPr>
      <w:r>
        <w:rPr>
          <w:sz w:val="18"/>
          <w:szCs w:val="18"/>
        </w:rPr>
        <w:t xml:space="preserve">Fee Tail Down:  Fees above reflect reduction to 90% of the management fee in year eight of a subscription, 80% in year nine, 70% in year ten, etc. The tail down begins in year seven for direct funds. </w:t>
      </w:r>
    </w:p>
    <w:p w14:paraId="45B49915" w14:textId="77777777" w:rsidR="00E91C7F" w:rsidRDefault="00E91C7F" w:rsidP="00E91C7F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University of Illinois System</w:t>
      </w:r>
    </w:p>
    <w:p w14:paraId="3C619152" w14:textId="77777777" w:rsidR="00E91C7F" w:rsidRDefault="00E91C7F" w:rsidP="00E91C7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Investment Fee Schedule – Alternative Investments</w:t>
      </w:r>
    </w:p>
    <w:p w14:paraId="0610D6B3" w14:textId="77777777" w:rsidR="00E91C7F" w:rsidRDefault="00E91C7F" w:rsidP="00E91C7F"/>
    <w:p w14:paraId="4F0957AF" w14:textId="77777777" w:rsidR="00E91C7F" w:rsidRDefault="00E91C7F" w:rsidP="00E91C7F">
      <w:r>
        <w:rPr>
          <w:b/>
        </w:rPr>
        <w:t>Firm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Terms</w:t>
      </w:r>
    </w:p>
    <w:p w14:paraId="3475B96E" w14:textId="77777777" w:rsidR="00E91C7F" w:rsidRDefault="00E91C7F" w:rsidP="00E91C7F">
      <w:pPr>
        <w:pStyle w:val="NoSpacing"/>
      </w:pPr>
      <w:r>
        <w:rPr>
          <w:u w:val="single"/>
        </w:rPr>
        <w:t>Private Capital (continued)</w:t>
      </w:r>
      <w:r>
        <w:tab/>
      </w:r>
      <w:r>
        <w:tab/>
      </w:r>
      <w:r>
        <w:tab/>
      </w:r>
      <w:r>
        <w:tab/>
      </w:r>
      <w:r>
        <w:rPr>
          <w:u w:val="single"/>
        </w:rPr>
        <w:t>Management Fee</w:t>
      </w:r>
      <w:r>
        <w:tab/>
      </w:r>
      <w:r>
        <w:tab/>
      </w:r>
      <w:r>
        <w:rPr>
          <w:u w:val="single"/>
        </w:rPr>
        <w:t>Carried Interest</w:t>
      </w:r>
      <w:r>
        <w:tab/>
      </w:r>
      <w:r>
        <w:tab/>
      </w:r>
    </w:p>
    <w:p w14:paraId="2357772C" w14:textId="77777777" w:rsidR="00E91C7F" w:rsidRDefault="00E91C7F" w:rsidP="00E91C7F">
      <w:pPr>
        <w:pStyle w:val="NoSpacing"/>
        <w:ind w:hanging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38E07" w14:textId="77777777" w:rsidR="00E91C7F" w:rsidRDefault="00E91C7F" w:rsidP="00E91C7F">
      <w:pPr>
        <w:pStyle w:val="NoSpacing"/>
      </w:pPr>
      <w:r>
        <w:t>Clearlake Capital Partners IV</w:t>
      </w:r>
      <w:r>
        <w:tab/>
      </w:r>
      <w:r>
        <w:tab/>
      </w:r>
      <w:r>
        <w:tab/>
      </w:r>
      <w:r>
        <w:tab/>
        <w:t>2.0%</w:t>
      </w:r>
      <w:r>
        <w:tab/>
      </w:r>
      <w:r>
        <w:tab/>
      </w:r>
      <w:r>
        <w:tab/>
        <w:t xml:space="preserve">     </w:t>
      </w:r>
      <w:r>
        <w:tab/>
        <w:t>20% (8% hurdle rate)</w:t>
      </w:r>
    </w:p>
    <w:p w14:paraId="6AEC817A" w14:textId="77777777" w:rsidR="00E91C7F" w:rsidRDefault="00E91C7F" w:rsidP="00E91C7F">
      <w:pPr>
        <w:pStyle w:val="NoSpacing"/>
        <w:ind w:right="-356" w:hanging="630"/>
      </w:pPr>
    </w:p>
    <w:p w14:paraId="0E30048F" w14:textId="77777777" w:rsidR="00E91C7F" w:rsidRDefault="00E91C7F" w:rsidP="00E91C7F">
      <w:pPr>
        <w:pStyle w:val="NoSpacing"/>
      </w:pPr>
      <w:r>
        <w:t xml:space="preserve">Clearlake Opportunities Fund </w:t>
      </w:r>
      <w:r>
        <w:tab/>
      </w:r>
      <w:r>
        <w:tab/>
      </w:r>
      <w:r>
        <w:tab/>
      </w:r>
      <w:r>
        <w:tab/>
        <w:t>1.75%</w:t>
      </w:r>
      <w:r>
        <w:tab/>
      </w:r>
      <w:r>
        <w:tab/>
      </w:r>
      <w:r>
        <w:tab/>
      </w:r>
      <w:r>
        <w:tab/>
        <w:t xml:space="preserve">20% (8% hurdle rate) </w:t>
      </w:r>
    </w:p>
    <w:p w14:paraId="632B9054" w14:textId="77777777" w:rsidR="00E91C7F" w:rsidRDefault="00E91C7F" w:rsidP="00E91C7F">
      <w:pPr>
        <w:pStyle w:val="NoSpacing"/>
        <w:ind w:hanging="630"/>
      </w:pPr>
    </w:p>
    <w:p w14:paraId="194CD111" w14:textId="77777777" w:rsidR="00E91C7F" w:rsidRDefault="00E91C7F" w:rsidP="00E91C7F">
      <w:pPr>
        <w:pStyle w:val="NoSpacing"/>
      </w:pPr>
      <w:r>
        <w:t>Clearlake Capital Partners V</w:t>
      </w:r>
      <w:r>
        <w:tab/>
      </w:r>
      <w:r>
        <w:tab/>
      </w:r>
      <w:r>
        <w:tab/>
      </w:r>
      <w:r>
        <w:tab/>
        <w:t>1.75%</w:t>
      </w:r>
      <w:r>
        <w:tab/>
      </w:r>
      <w:r>
        <w:tab/>
      </w:r>
      <w:r>
        <w:tab/>
      </w:r>
      <w:r>
        <w:tab/>
        <w:t>20% (8% hurdle rate)</w:t>
      </w:r>
    </w:p>
    <w:p w14:paraId="32FD37E4" w14:textId="77777777" w:rsidR="00E91C7F" w:rsidRDefault="00E91C7F" w:rsidP="00E91C7F">
      <w:pPr>
        <w:pStyle w:val="NoSpacing"/>
        <w:ind w:hanging="630"/>
      </w:pPr>
    </w:p>
    <w:p w14:paraId="375600F1" w14:textId="1675E1FA" w:rsidR="00E91C7F" w:rsidRDefault="00E91C7F" w:rsidP="00E91C7F">
      <w:pPr>
        <w:pStyle w:val="NoSpacing"/>
      </w:pPr>
      <w:r>
        <w:t>Clearlake Capital Partners VI</w:t>
      </w:r>
      <w:r>
        <w:tab/>
      </w:r>
      <w:r>
        <w:tab/>
      </w:r>
      <w:r>
        <w:tab/>
      </w:r>
      <w:r>
        <w:tab/>
        <w:t>1.75%                                               20% (8% hurdle rate)</w:t>
      </w:r>
    </w:p>
    <w:p w14:paraId="436AED97" w14:textId="7829956A" w:rsidR="003460C3" w:rsidRDefault="003460C3" w:rsidP="00E91C7F">
      <w:pPr>
        <w:pStyle w:val="NoSpacing"/>
      </w:pPr>
    </w:p>
    <w:p w14:paraId="6E56025C" w14:textId="04A60AE8" w:rsidR="003460C3" w:rsidRDefault="003460C3" w:rsidP="00E91C7F">
      <w:pPr>
        <w:pStyle w:val="NoSpacing"/>
      </w:pPr>
      <w:r>
        <w:t>Clearlake Flagship Plus</w:t>
      </w:r>
      <w:r>
        <w:tab/>
      </w:r>
      <w:r>
        <w:tab/>
      </w:r>
      <w:r>
        <w:tab/>
      </w:r>
      <w:r>
        <w:tab/>
      </w:r>
      <w:r>
        <w:tab/>
        <w:t>1.25%</w:t>
      </w:r>
      <w:r>
        <w:tab/>
      </w:r>
      <w:r>
        <w:tab/>
      </w:r>
      <w:r>
        <w:tab/>
      </w:r>
      <w:r>
        <w:tab/>
        <w:t>20% (8% hurdle rate)</w:t>
      </w:r>
    </w:p>
    <w:p w14:paraId="796EF297" w14:textId="77777777" w:rsidR="00E91C7F" w:rsidRDefault="00E91C7F" w:rsidP="00E91C7F">
      <w:pPr>
        <w:pStyle w:val="NoSpacing"/>
        <w:ind w:hanging="630"/>
      </w:pPr>
    </w:p>
    <w:p w14:paraId="305D9147" w14:textId="77777777" w:rsidR="00E91C7F" w:rsidRDefault="00E91C7F" w:rsidP="00E91C7F">
      <w:pPr>
        <w:pStyle w:val="NoSpacing"/>
      </w:pPr>
      <w:r>
        <w:t>Clearlake ICON</w:t>
      </w:r>
      <w:r>
        <w:tab/>
        <w:t xml:space="preserve"> I</w:t>
      </w:r>
      <w:r>
        <w:tab/>
      </w:r>
      <w:r>
        <w:tab/>
      </w:r>
      <w:r>
        <w:tab/>
      </w:r>
      <w:r>
        <w:tab/>
      </w:r>
      <w:r>
        <w:tab/>
        <w:t>1.0%</w:t>
      </w:r>
      <w:r>
        <w:tab/>
      </w:r>
      <w:r>
        <w:tab/>
      </w:r>
      <w:r>
        <w:tab/>
      </w:r>
      <w:r>
        <w:tab/>
        <w:t>20% (8% hurdle rate)</w:t>
      </w:r>
    </w:p>
    <w:p w14:paraId="2FB015DE" w14:textId="77777777" w:rsidR="00E91C7F" w:rsidRDefault="00E91C7F" w:rsidP="009216DC">
      <w:pPr>
        <w:pStyle w:val="NoSpacing"/>
      </w:pPr>
    </w:p>
    <w:p w14:paraId="11439F59" w14:textId="77777777" w:rsidR="00E91C7F" w:rsidRDefault="00E91C7F" w:rsidP="00E91C7F">
      <w:pPr>
        <w:pStyle w:val="NoSpacing"/>
      </w:pPr>
      <w:r>
        <w:t>Homestead Capital USA Farmland Fund III, L.P.</w:t>
      </w:r>
      <w:r>
        <w:tab/>
      </w:r>
      <w:r>
        <w:tab/>
        <w:t>1.5%</w:t>
      </w:r>
      <w:r>
        <w:tab/>
      </w:r>
      <w:r>
        <w:tab/>
      </w:r>
      <w:r>
        <w:tab/>
      </w:r>
      <w:r>
        <w:tab/>
        <w:t>15% (6% hurdle rate)</w:t>
      </w:r>
    </w:p>
    <w:p w14:paraId="6A44C78F" w14:textId="77777777" w:rsidR="00E91C7F" w:rsidRDefault="00E91C7F" w:rsidP="00E91C7F">
      <w:pPr>
        <w:pStyle w:val="NoSpacing"/>
        <w:ind w:hanging="630"/>
      </w:pPr>
    </w:p>
    <w:p w14:paraId="6BA8BBEC" w14:textId="77777777" w:rsidR="00E91C7F" w:rsidRDefault="00E91C7F" w:rsidP="00E91C7F">
      <w:pPr>
        <w:pStyle w:val="NoSpacing"/>
      </w:pPr>
      <w:proofErr w:type="spellStart"/>
      <w:r>
        <w:t>Centana</w:t>
      </w:r>
      <w:proofErr w:type="spellEnd"/>
      <w:r>
        <w:t xml:space="preserve"> Growth Partners II</w:t>
      </w:r>
      <w:r>
        <w:tab/>
      </w:r>
      <w:r>
        <w:tab/>
      </w:r>
      <w:r>
        <w:tab/>
      </w:r>
      <w:r>
        <w:tab/>
        <w:t>2.5% with scale down</w:t>
      </w:r>
      <w:r>
        <w:tab/>
      </w:r>
      <w:r>
        <w:tab/>
        <w:t>20% (8% hurdle rate)</w:t>
      </w:r>
    </w:p>
    <w:p w14:paraId="433E3A0E" w14:textId="1063FFE7" w:rsidR="00E91C7F" w:rsidRDefault="00E91C7F" w:rsidP="00E91C7F">
      <w:pPr>
        <w:pStyle w:val="NoSpacing"/>
        <w:ind w:hanging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 2.0% after 5</w:t>
      </w:r>
      <w:r>
        <w:rPr>
          <w:vertAlign w:val="superscript"/>
        </w:rPr>
        <w:t>th</w:t>
      </w:r>
      <w:r>
        <w:t xml:space="preserve"> year</w:t>
      </w:r>
      <w:r>
        <w:tab/>
      </w:r>
    </w:p>
    <w:p w14:paraId="2B77B315" w14:textId="77777777" w:rsidR="00E91C7F" w:rsidRDefault="00E91C7F" w:rsidP="009155DE">
      <w:pPr>
        <w:pStyle w:val="NoSpacing"/>
      </w:pPr>
    </w:p>
    <w:p w14:paraId="2A1DFDDA" w14:textId="7476E60A" w:rsidR="00E91C7F" w:rsidRDefault="00E91C7F" w:rsidP="00E91C7F">
      <w:pPr>
        <w:pStyle w:val="NoSpacing"/>
      </w:pPr>
      <w:r>
        <w:t xml:space="preserve">Illinois Ventures </w:t>
      </w:r>
      <w:proofErr w:type="spellStart"/>
      <w:r>
        <w:t>IETF</w:t>
      </w:r>
      <w:proofErr w:type="spellEnd"/>
      <w:r>
        <w:t xml:space="preserve"> III</w:t>
      </w:r>
      <w:r>
        <w:tab/>
      </w:r>
      <w:r>
        <w:tab/>
      </w:r>
      <w:r>
        <w:tab/>
      </w:r>
      <w:r>
        <w:tab/>
      </w:r>
      <w:r>
        <w:tab/>
        <w:t>2.5%</w:t>
      </w:r>
      <w:r>
        <w:tab/>
      </w:r>
      <w:r>
        <w:tab/>
      </w:r>
      <w:r>
        <w:tab/>
      </w:r>
      <w:r>
        <w:tab/>
        <w:t>20%</w:t>
      </w:r>
    </w:p>
    <w:p w14:paraId="5BA06A23" w14:textId="77777777" w:rsidR="00E91C7F" w:rsidRDefault="00E91C7F" w:rsidP="00E91C7F">
      <w:pPr>
        <w:pStyle w:val="NoSpacing"/>
        <w:ind w:hanging="630"/>
      </w:pPr>
    </w:p>
    <w:p w14:paraId="3414A7AB" w14:textId="77777777" w:rsidR="00E91C7F" w:rsidRDefault="00E91C7F" w:rsidP="00E91C7F">
      <w:pPr>
        <w:pStyle w:val="NoSpacing"/>
      </w:pPr>
      <w:r>
        <w:t>Oaktree Opportunities Fund X</w:t>
      </w:r>
      <w:r>
        <w:tab/>
      </w:r>
      <w:r>
        <w:tab/>
      </w:r>
      <w:r>
        <w:tab/>
      </w:r>
      <w:r>
        <w:tab/>
        <w:t>1.6%</w:t>
      </w:r>
      <w:r>
        <w:tab/>
      </w:r>
      <w:r>
        <w:tab/>
      </w:r>
      <w:r>
        <w:tab/>
      </w:r>
      <w:r>
        <w:tab/>
        <w:t>20% (8% hurdle rate)</w:t>
      </w:r>
    </w:p>
    <w:p w14:paraId="177114A1" w14:textId="77777777" w:rsidR="00E91C7F" w:rsidRDefault="00E91C7F" w:rsidP="00E91C7F">
      <w:pPr>
        <w:pStyle w:val="NoSpacing"/>
        <w:ind w:hanging="630"/>
      </w:pPr>
    </w:p>
    <w:p w14:paraId="68311F3B" w14:textId="77777777" w:rsidR="00E91C7F" w:rsidRDefault="00E91C7F" w:rsidP="00E91C7F">
      <w:pPr>
        <w:pStyle w:val="NoSpacing"/>
      </w:pPr>
      <w:r>
        <w:t>Oaktree Opportunities Fund X(b)</w:t>
      </w:r>
      <w:r>
        <w:tab/>
      </w:r>
      <w:r>
        <w:tab/>
      </w:r>
      <w:r>
        <w:tab/>
        <w:t>1.6%</w:t>
      </w:r>
      <w:r>
        <w:tab/>
      </w:r>
      <w:r>
        <w:tab/>
      </w:r>
      <w:r>
        <w:tab/>
      </w:r>
      <w:r>
        <w:tab/>
        <w:t>20% (8% hurdle rate)</w:t>
      </w:r>
    </w:p>
    <w:p w14:paraId="3F8803DC" w14:textId="77777777" w:rsidR="00E91C7F" w:rsidRDefault="00E91C7F" w:rsidP="00E91C7F">
      <w:pPr>
        <w:pStyle w:val="NoSpacing"/>
        <w:ind w:hanging="630"/>
      </w:pPr>
    </w:p>
    <w:p w14:paraId="6008D833" w14:textId="77777777" w:rsidR="00E91C7F" w:rsidRDefault="00E91C7F" w:rsidP="00E91C7F">
      <w:pPr>
        <w:pStyle w:val="NoSpacing"/>
      </w:pPr>
      <w:r>
        <w:t>Oaktree XI</w:t>
      </w:r>
      <w:r>
        <w:tab/>
      </w:r>
      <w:r>
        <w:tab/>
      </w:r>
      <w:r>
        <w:tab/>
      </w:r>
      <w:r>
        <w:tab/>
      </w:r>
      <w:r>
        <w:tab/>
      </w:r>
      <w:r>
        <w:tab/>
        <w:t>1.44%</w:t>
      </w:r>
      <w:r>
        <w:tab/>
      </w:r>
      <w:r>
        <w:tab/>
      </w:r>
      <w:r>
        <w:tab/>
      </w:r>
      <w:r>
        <w:tab/>
        <w:t>20% (8% hurdle rate)</w:t>
      </w:r>
    </w:p>
    <w:p w14:paraId="4E5B0F18" w14:textId="77777777" w:rsidR="00E91C7F" w:rsidRDefault="00E91C7F" w:rsidP="00E91C7F">
      <w:pPr>
        <w:pStyle w:val="NoSpacing"/>
        <w:ind w:hanging="630"/>
      </w:pPr>
    </w:p>
    <w:p w14:paraId="165EDB25" w14:textId="77777777" w:rsidR="00E91C7F" w:rsidRDefault="00E91C7F" w:rsidP="00E91C7F">
      <w:pPr>
        <w:pStyle w:val="NoSpacing"/>
      </w:pPr>
      <w:proofErr w:type="spellStart"/>
      <w:r>
        <w:t>ParkerGale</w:t>
      </w:r>
      <w:proofErr w:type="spellEnd"/>
      <w:r>
        <w:t xml:space="preserve"> Capital II, L.P.</w:t>
      </w:r>
      <w:r>
        <w:tab/>
      </w:r>
      <w:r>
        <w:tab/>
      </w:r>
      <w:r>
        <w:tab/>
      </w:r>
      <w:r>
        <w:tab/>
        <w:t>2.0%</w:t>
      </w:r>
      <w:r>
        <w:tab/>
      </w:r>
      <w:r>
        <w:tab/>
      </w:r>
      <w:r>
        <w:tab/>
      </w:r>
      <w:r>
        <w:tab/>
        <w:t>20% (8% hurdle rate)</w:t>
      </w:r>
    </w:p>
    <w:p w14:paraId="5009E299" w14:textId="77777777" w:rsidR="00E91C7F" w:rsidRDefault="00E91C7F" w:rsidP="00E91C7F">
      <w:pPr>
        <w:pStyle w:val="NoSpacing"/>
        <w:ind w:hanging="630"/>
      </w:pPr>
    </w:p>
    <w:p w14:paraId="2646DE5A" w14:textId="2F021CB8" w:rsidR="00E91C7F" w:rsidRDefault="00E91C7F" w:rsidP="00E91C7F">
      <w:pPr>
        <w:pStyle w:val="NoSpacing"/>
      </w:pPr>
      <w:r>
        <w:t>BlackRock Multi-Alternative Opportunities Fund</w:t>
      </w:r>
      <w:r>
        <w:tab/>
      </w:r>
      <w:r>
        <w:tab/>
        <w:t>1.5%</w:t>
      </w:r>
      <w:r>
        <w:tab/>
      </w:r>
      <w:r>
        <w:tab/>
      </w:r>
      <w:r>
        <w:tab/>
      </w:r>
      <w:r>
        <w:tab/>
        <w:t>20% (8% hurdle rate)</w:t>
      </w:r>
    </w:p>
    <w:p w14:paraId="07CCE336" w14:textId="77777777" w:rsidR="00E91C7F" w:rsidRDefault="00E91C7F" w:rsidP="00E91C7F">
      <w:pPr>
        <w:pStyle w:val="NoSpacing"/>
        <w:ind w:hanging="630"/>
      </w:pPr>
    </w:p>
    <w:p w14:paraId="5A355127" w14:textId="77777777" w:rsidR="00E91C7F" w:rsidRDefault="00E91C7F" w:rsidP="00E91C7F">
      <w:pPr>
        <w:pStyle w:val="NoSpacing"/>
      </w:pPr>
      <w:r>
        <w:t>Merit Mezzanine Fund VI</w:t>
      </w:r>
      <w:r>
        <w:tab/>
      </w:r>
      <w:r>
        <w:tab/>
      </w:r>
      <w:r>
        <w:tab/>
      </w:r>
      <w:r>
        <w:tab/>
        <w:t>1.75%</w:t>
      </w:r>
      <w:r>
        <w:tab/>
      </w:r>
      <w:r>
        <w:tab/>
      </w:r>
      <w:r>
        <w:tab/>
      </w:r>
      <w:r>
        <w:tab/>
        <w:t>20% (8% hurdle rate)</w:t>
      </w:r>
    </w:p>
    <w:p w14:paraId="4A772A65" w14:textId="77777777" w:rsidR="00E91C7F" w:rsidRDefault="00E91C7F" w:rsidP="00E91C7F">
      <w:pPr>
        <w:pStyle w:val="NoSpacing"/>
        <w:ind w:hanging="630"/>
      </w:pPr>
    </w:p>
    <w:p w14:paraId="58A24DBD" w14:textId="77777777" w:rsidR="00E91C7F" w:rsidRDefault="00E91C7F" w:rsidP="00E91C7F">
      <w:pPr>
        <w:pStyle w:val="NoSpacing"/>
      </w:pPr>
      <w:r>
        <w:t>Varsity Healthcare III</w:t>
      </w:r>
      <w:r>
        <w:tab/>
      </w:r>
      <w:r>
        <w:tab/>
      </w:r>
      <w:r>
        <w:tab/>
      </w:r>
      <w:r>
        <w:tab/>
      </w:r>
      <w:r>
        <w:tab/>
        <w:t>2.0%</w:t>
      </w:r>
      <w:r>
        <w:tab/>
      </w:r>
      <w:r>
        <w:tab/>
      </w:r>
      <w:r>
        <w:tab/>
      </w:r>
      <w:r>
        <w:tab/>
        <w:t>20% (8% hurdle rate)</w:t>
      </w:r>
    </w:p>
    <w:p w14:paraId="1D4891FB" w14:textId="77777777" w:rsidR="009E3F82" w:rsidRDefault="009E3F82" w:rsidP="00E91C7F">
      <w:pPr>
        <w:pStyle w:val="Heading1"/>
        <w:spacing w:before="0" w:after="0"/>
        <w:jc w:val="center"/>
        <w:rPr>
          <w:sz w:val="28"/>
          <w:szCs w:val="28"/>
        </w:rPr>
      </w:pPr>
    </w:p>
    <w:p w14:paraId="3445AEB7" w14:textId="77777777" w:rsidR="009E3F82" w:rsidRDefault="009E3F82" w:rsidP="00E91C7F">
      <w:pPr>
        <w:pStyle w:val="Heading1"/>
        <w:spacing w:before="0" w:after="0"/>
        <w:jc w:val="center"/>
        <w:rPr>
          <w:sz w:val="28"/>
          <w:szCs w:val="28"/>
        </w:rPr>
      </w:pPr>
    </w:p>
    <w:p w14:paraId="3E8FA6E3" w14:textId="77777777" w:rsidR="009E3F82" w:rsidRDefault="009E3F82" w:rsidP="00E91C7F">
      <w:pPr>
        <w:pStyle w:val="Heading1"/>
        <w:spacing w:before="0" w:after="0"/>
        <w:jc w:val="center"/>
        <w:rPr>
          <w:sz w:val="28"/>
          <w:szCs w:val="28"/>
        </w:rPr>
      </w:pPr>
    </w:p>
    <w:p w14:paraId="658D3ED3" w14:textId="704C6A1C" w:rsidR="00E91C7F" w:rsidRDefault="00E91C7F" w:rsidP="00E91C7F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University of Illinois System</w:t>
      </w:r>
    </w:p>
    <w:p w14:paraId="76B00575" w14:textId="77777777" w:rsidR="00E91C7F" w:rsidRDefault="00E91C7F" w:rsidP="00E91C7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Investment Fee Schedule – Alternative Investments</w:t>
      </w:r>
    </w:p>
    <w:p w14:paraId="59CE4D6B" w14:textId="77777777" w:rsidR="00E91C7F" w:rsidRDefault="00E91C7F" w:rsidP="00E91C7F"/>
    <w:p w14:paraId="5A7CDBB5" w14:textId="77777777" w:rsidR="00E91C7F" w:rsidRDefault="00E91C7F" w:rsidP="00E91C7F">
      <w:pPr>
        <w:pStyle w:val="NoSpacing"/>
        <w:rPr>
          <w:b/>
        </w:rPr>
      </w:pPr>
      <w:r>
        <w:rPr>
          <w:b/>
        </w:rPr>
        <w:t>Firm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05A6CB" w14:textId="77777777" w:rsidR="00E91C7F" w:rsidRDefault="00E91C7F" w:rsidP="00E91C7F">
      <w:pPr>
        <w:pStyle w:val="NoSpacing"/>
        <w:ind w:left="-630"/>
        <w:rPr>
          <w:u w:val="single"/>
        </w:rPr>
      </w:pPr>
    </w:p>
    <w:p w14:paraId="0ADC6CC7" w14:textId="77777777" w:rsidR="00E91C7F" w:rsidRDefault="00E91C7F" w:rsidP="00E91C7F">
      <w:pPr>
        <w:pStyle w:val="NoSpacing"/>
        <w:ind w:left="-630" w:firstLine="630"/>
        <w:rPr>
          <w:u w:val="single"/>
        </w:rPr>
      </w:pPr>
      <w:r>
        <w:rPr>
          <w:u w:val="single"/>
        </w:rPr>
        <w:t>Private Capital (Continued)</w:t>
      </w:r>
      <w:r>
        <w:tab/>
      </w:r>
      <w:r>
        <w:tab/>
      </w:r>
      <w:r>
        <w:tab/>
      </w:r>
      <w:r>
        <w:tab/>
      </w:r>
      <w:r>
        <w:rPr>
          <w:u w:val="single"/>
        </w:rPr>
        <w:t>Management Fee</w:t>
      </w:r>
      <w:proofErr w:type="gramStart"/>
      <w:r w:rsidRPr="00E91C7F">
        <w:tab/>
        <w:t xml:space="preserve">  </w:t>
      </w:r>
      <w:r w:rsidRPr="00E91C7F">
        <w:tab/>
      </w:r>
      <w:proofErr w:type="gramEnd"/>
      <w:r>
        <w:rPr>
          <w:u w:val="single"/>
        </w:rPr>
        <w:t>Carried Interest</w:t>
      </w:r>
    </w:p>
    <w:p w14:paraId="4545B628" w14:textId="77777777" w:rsidR="00E91C7F" w:rsidRDefault="00E91C7F" w:rsidP="00E91C7F">
      <w:pPr>
        <w:pStyle w:val="NoSpacing"/>
        <w:ind w:hanging="630"/>
      </w:pPr>
    </w:p>
    <w:p w14:paraId="1E69FF48" w14:textId="77777777" w:rsidR="00E91C7F" w:rsidRDefault="00E91C7F" w:rsidP="00E91C7F">
      <w:pPr>
        <w:pStyle w:val="NoSpacing"/>
      </w:pPr>
      <w:r>
        <w:t>Tiger Global Private Investment Partners XIV</w:t>
      </w:r>
      <w:r>
        <w:tab/>
      </w:r>
      <w:r>
        <w:tab/>
        <w:t>2.0% (0.07% average</w:t>
      </w:r>
      <w:r>
        <w:tab/>
      </w:r>
      <w:r>
        <w:tab/>
        <w:t>20-25% step up</w:t>
      </w:r>
    </w:p>
    <w:p w14:paraId="637320C8" w14:textId="77777777" w:rsidR="00E91C7F" w:rsidRDefault="00E91C7F" w:rsidP="00E91C7F">
      <w:pPr>
        <w:pStyle w:val="NoSpacing"/>
      </w:pPr>
      <w:r>
        <w:t>(</w:t>
      </w:r>
      <w:proofErr w:type="spellStart"/>
      <w:r>
        <w:t>FEG</w:t>
      </w:r>
      <w:proofErr w:type="spellEnd"/>
      <w:r>
        <w:t xml:space="preserve"> Select)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FEG</w:t>
      </w:r>
      <w:proofErr w:type="spellEnd"/>
      <w:r>
        <w:t xml:space="preserve"> Select fee)</w:t>
      </w:r>
    </w:p>
    <w:p w14:paraId="52BD7844" w14:textId="77777777" w:rsidR="00E91C7F" w:rsidRDefault="00E91C7F" w:rsidP="00E91C7F">
      <w:pPr>
        <w:pStyle w:val="NoSpacing"/>
        <w:ind w:hanging="630"/>
      </w:pPr>
    </w:p>
    <w:p w14:paraId="49BB99DA" w14:textId="77777777" w:rsidR="00E91C7F" w:rsidRDefault="00E91C7F" w:rsidP="00E91C7F">
      <w:pPr>
        <w:pStyle w:val="NoSpacing"/>
        <w:rPr>
          <w:u w:val="single"/>
        </w:rPr>
      </w:pPr>
      <w:r>
        <w:rPr>
          <w:u w:val="single"/>
        </w:rPr>
        <w:t>Hedge Funds</w:t>
      </w:r>
    </w:p>
    <w:p w14:paraId="3D0A0F2C" w14:textId="77777777" w:rsidR="00E91C7F" w:rsidRDefault="00E91C7F" w:rsidP="00E91C7F">
      <w:pPr>
        <w:pStyle w:val="NoSpacing"/>
        <w:ind w:hanging="630"/>
      </w:pPr>
    </w:p>
    <w:p w14:paraId="45F4CFB2" w14:textId="77777777" w:rsidR="00E91C7F" w:rsidRDefault="00E91C7F" w:rsidP="00E91C7F">
      <w:pPr>
        <w:pStyle w:val="NoSpacing"/>
      </w:pPr>
      <w:r>
        <w:t>Davidson Kempner International</w:t>
      </w:r>
      <w:r>
        <w:tab/>
      </w:r>
      <w:r>
        <w:tab/>
      </w:r>
      <w:r>
        <w:tab/>
        <w:t>1.5%</w:t>
      </w:r>
      <w:r>
        <w:tab/>
      </w:r>
      <w:r>
        <w:tab/>
      </w:r>
      <w:r>
        <w:tab/>
      </w:r>
      <w:r>
        <w:tab/>
        <w:t xml:space="preserve">20% </w:t>
      </w:r>
    </w:p>
    <w:p w14:paraId="5BD0A8CB" w14:textId="77777777" w:rsidR="00E91C7F" w:rsidRDefault="00E91C7F" w:rsidP="00E91C7F">
      <w:pPr>
        <w:pStyle w:val="NoSpacing"/>
        <w:ind w:hanging="630"/>
      </w:pPr>
    </w:p>
    <w:p w14:paraId="6EE8585F" w14:textId="77777777" w:rsidR="00E91C7F" w:rsidRDefault="00E91C7F" w:rsidP="00E91C7F">
      <w:pPr>
        <w:pStyle w:val="NoSpacing"/>
      </w:pPr>
      <w:r>
        <w:t>Elliott International</w:t>
      </w:r>
      <w:r>
        <w:tab/>
      </w:r>
      <w:r>
        <w:tab/>
      </w:r>
      <w:r>
        <w:tab/>
      </w:r>
      <w:r>
        <w:tab/>
      </w:r>
      <w:r>
        <w:tab/>
        <w:t>1.5%</w:t>
      </w:r>
      <w:r>
        <w:tab/>
      </w:r>
      <w:r>
        <w:tab/>
      </w:r>
      <w:r>
        <w:tab/>
      </w:r>
      <w:r>
        <w:tab/>
        <w:t>20%</w:t>
      </w:r>
    </w:p>
    <w:p w14:paraId="52E8CC78" w14:textId="77777777" w:rsidR="00E91C7F" w:rsidRDefault="00E91C7F" w:rsidP="009155DE">
      <w:pPr>
        <w:pStyle w:val="NoSpacing"/>
      </w:pPr>
    </w:p>
    <w:p w14:paraId="47F8F913" w14:textId="77777777" w:rsidR="00E91C7F" w:rsidRDefault="00E91C7F" w:rsidP="00E91C7F">
      <w:pPr>
        <w:pStyle w:val="NoSpacing"/>
      </w:pPr>
      <w:r>
        <w:t>Hudson Bay</w:t>
      </w:r>
      <w:r>
        <w:tab/>
      </w:r>
      <w:r>
        <w:tab/>
      </w:r>
      <w:r>
        <w:tab/>
      </w:r>
      <w:r>
        <w:tab/>
      </w:r>
      <w:r>
        <w:tab/>
      </w:r>
      <w:r>
        <w:tab/>
        <w:t>2.0%</w:t>
      </w:r>
      <w:r>
        <w:tab/>
      </w:r>
      <w:r>
        <w:tab/>
      </w:r>
      <w:r>
        <w:tab/>
      </w:r>
      <w:r>
        <w:tab/>
        <w:t>20% with high water mark</w:t>
      </w:r>
    </w:p>
    <w:p w14:paraId="357833CE" w14:textId="77777777" w:rsidR="00E91C7F" w:rsidRDefault="00E91C7F" w:rsidP="00E91C7F">
      <w:pPr>
        <w:pStyle w:val="NoSpacing"/>
        <w:ind w:hanging="630"/>
      </w:pPr>
    </w:p>
    <w:p w14:paraId="5F6840DF" w14:textId="77777777" w:rsidR="00E91C7F" w:rsidRDefault="00E91C7F" w:rsidP="00E91C7F">
      <w:pPr>
        <w:pStyle w:val="NoSpacing"/>
        <w:rPr>
          <w:u w:val="single"/>
        </w:rPr>
      </w:pPr>
      <w:r>
        <w:rPr>
          <w:u w:val="single"/>
        </w:rPr>
        <w:t>Real Estate</w:t>
      </w:r>
    </w:p>
    <w:p w14:paraId="3D8D9F73" w14:textId="77777777" w:rsidR="00E91C7F" w:rsidRDefault="00E91C7F" w:rsidP="00E91C7F">
      <w:pPr>
        <w:pStyle w:val="NoSpacing"/>
        <w:ind w:hanging="630"/>
        <w:rPr>
          <w:u w:val="single"/>
        </w:rPr>
      </w:pPr>
    </w:p>
    <w:p w14:paraId="7D2AE2F4" w14:textId="77777777" w:rsidR="00E91C7F" w:rsidRDefault="00E91C7F" w:rsidP="00E91C7F">
      <w:pPr>
        <w:pStyle w:val="NoSpacing"/>
      </w:pPr>
      <w:r>
        <w:t>Heitman HART</w:t>
      </w:r>
      <w:r>
        <w:tab/>
      </w:r>
      <w:r>
        <w:tab/>
      </w:r>
      <w:r>
        <w:tab/>
      </w:r>
      <w:r>
        <w:tab/>
      </w:r>
      <w:r>
        <w:tab/>
      </w:r>
      <w:r>
        <w:tab/>
        <w:t>1.1% - first $10 million</w:t>
      </w:r>
      <w:r>
        <w:tab/>
      </w:r>
      <w:r>
        <w:tab/>
        <w:t>NA</w:t>
      </w:r>
    </w:p>
    <w:p w14:paraId="7151A538" w14:textId="7F1478AF" w:rsidR="00E91C7F" w:rsidRDefault="00E91C7F" w:rsidP="00E91C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1.0% - next $15 million</w:t>
      </w:r>
    </w:p>
    <w:p w14:paraId="643C5BD7" w14:textId="77777777" w:rsidR="00E91C7F" w:rsidRDefault="00E91C7F" w:rsidP="00E91C7F">
      <w:pPr>
        <w:pStyle w:val="NoSpacing"/>
      </w:pPr>
    </w:p>
    <w:p w14:paraId="7A9C22BD" w14:textId="348AA02C" w:rsidR="00E91C7F" w:rsidRDefault="00E91C7F" w:rsidP="00E91C7F">
      <w:pPr>
        <w:pStyle w:val="NoSpacing"/>
        <w:ind w:left="-630" w:firstLine="630"/>
      </w:pPr>
      <w:r>
        <w:t xml:space="preserve">Prudential </w:t>
      </w:r>
      <w:proofErr w:type="spellStart"/>
      <w:r>
        <w:t>PRISA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1.0% - first $</w:t>
      </w:r>
      <w:proofErr w:type="spellStart"/>
      <w:r>
        <w:t>10million</w:t>
      </w:r>
      <w:proofErr w:type="spellEnd"/>
      <w:r>
        <w:tab/>
      </w:r>
      <w:r>
        <w:tab/>
        <w:t xml:space="preserve">3% Operating Cash Flow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0.95% - $</w:t>
      </w:r>
      <w:proofErr w:type="spellStart"/>
      <w:r>
        <w:t>10M</w:t>
      </w:r>
      <w:proofErr w:type="spellEnd"/>
      <w:r>
        <w:t xml:space="preserve"> to $</w:t>
      </w:r>
      <w:proofErr w:type="spellStart"/>
      <w:r>
        <w:t>25M</w:t>
      </w:r>
      <w:proofErr w:type="spellEnd"/>
      <w:r>
        <w:tab/>
      </w:r>
      <w:r>
        <w:tab/>
        <w:t>0.10% Cash Balance</w:t>
      </w:r>
    </w:p>
    <w:p w14:paraId="52EDB27B" w14:textId="4F66DA78" w:rsidR="00E91C7F" w:rsidRDefault="00E91C7F" w:rsidP="00E91C7F">
      <w:pPr>
        <w:pStyle w:val="NoSpacing"/>
        <w:ind w:left="-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(1.20% Maximum Annual Fee)</w:t>
      </w:r>
    </w:p>
    <w:p w14:paraId="4DED96E8" w14:textId="77777777" w:rsidR="00E91C7F" w:rsidRDefault="00E91C7F" w:rsidP="009155DE">
      <w:pPr>
        <w:pStyle w:val="NoSpacing"/>
      </w:pPr>
    </w:p>
    <w:p w14:paraId="2EC31335" w14:textId="77777777" w:rsidR="00E91C7F" w:rsidRDefault="00E91C7F" w:rsidP="00E91C7F">
      <w:pPr>
        <w:pStyle w:val="NoSpacing"/>
        <w:ind w:left="-630" w:firstLine="630"/>
      </w:pPr>
      <w:r>
        <w:t>Farallon Real Estate Partners III</w:t>
      </w:r>
      <w:r>
        <w:tab/>
      </w:r>
      <w:r>
        <w:tab/>
      </w:r>
      <w:r>
        <w:tab/>
      </w:r>
      <w:r>
        <w:tab/>
        <w:t>1.5% (reduced by 15% of</w:t>
      </w:r>
      <w:r>
        <w:tab/>
        <w:t>20% (6% hurdle rate)</w:t>
      </w:r>
    </w:p>
    <w:p w14:paraId="0CC49254" w14:textId="37D8020A" w:rsidR="00E91C7F" w:rsidRDefault="00E91C7F" w:rsidP="00E91C7F">
      <w:pPr>
        <w:pStyle w:val="NoSpacing"/>
        <w:ind w:left="-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commitments for reserve)</w:t>
      </w:r>
      <w:r>
        <w:tab/>
      </w:r>
    </w:p>
    <w:p w14:paraId="28D9090E" w14:textId="76D60EF9" w:rsidR="00593434" w:rsidRPr="003460C3" w:rsidRDefault="00593434" w:rsidP="003460C3">
      <w:pPr>
        <w:rPr>
          <w:rStyle w:val="Hyperlink"/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sectPr w:rsidR="00593434" w:rsidRPr="003460C3" w:rsidSect="008B1F2C">
      <w:footerReference w:type="default" r:id="rId18"/>
      <w:footerReference w:type="first" r:id="rId19"/>
      <w:pgSz w:w="12240" w:h="15840"/>
      <w:pgMar w:top="1080" w:right="864" w:bottom="1080" w:left="8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268A" w14:textId="77777777" w:rsidR="00974A61" w:rsidRDefault="00974A61" w:rsidP="00E461D5">
      <w:pPr>
        <w:spacing w:after="0" w:line="240" w:lineRule="auto"/>
      </w:pPr>
      <w:r>
        <w:separator/>
      </w:r>
    </w:p>
  </w:endnote>
  <w:endnote w:type="continuationSeparator" w:id="0">
    <w:p w14:paraId="75EF0100" w14:textId="77777777" w:rsidR="00974A61" w:rsidRDefault="00974A61" w:rsidP="00E4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06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2938A" w14:textId="705EB1B0" w:rsidR="00DA1613" w:rsidRDefault="00DA1613" w:rsidP="006248EC">
        <w:pPr>
          <w:pStyle w:val="Footer"/>
          <w:jc w:val="right"/>
        </w:pPr>
        <w:r>
          <w:ptab w:relativeTo="indent" w:alignment="center" w:leader="none"/>
        </w:r>
        <w:r>
          <w:ptab w:relativeTo="indent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236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4BA2D9B1" w14:textId="77777777" w:rsidR="00DA1613" w:rsidRDefault="00DA1613" w:rsidP="008132C6">
    <w:pPr>
      <w:pStyle w:val="Footer"/>
      <w:jc w:val="center"/>
    </w:pPr>
    <w:r>
      <w:rPr>
        <w:noProof/>
      </w:rPr>
      <w:drawing>
        <wp:inline distT="0" distB="0" distL="0" distR="0" wp14:anchorId="7131CC17" wp14:editId="1E6F7C21">
          <wp:extent cx="3178175" cy="365125"/>
          <wp:effectExtent l="0" t="0" r="3175" b="0"/>
          <wp:docPr id="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17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319A" w14:textId="4886033C" w:rsidR="00DA1613" w:rsidRDefault="00DA1613">
    <w:pPr>
      <w:pStyle w:val="Footer"/>
      <w:jc w:val="center"/>
    </w:pPr>
  </w:p>
  <w:p w14:paraId="6E28C8AB" w14:textId="274F4E5E" w:rsidR="00DA1613" w:rsidRDefault="00DA1613" w:rsidP="003D18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0ADC" w14:textId="77777777" w:rsidR="00974A61" w:rsidRDefault="00974A61" w:rsidP="00E461D5">
      <w:pPr>
        <w:spacing w:after="0" w:line="240" w:lineRule="auto"/>
      </w:pPr>
      <w:r>
        <w:separator/>
      </w:r>
    </w:p>
  </w:footnote>
  <w:footnote w:type="continuationSeparator" w:id="0">
    <w:p w14:paraId="541B5A40" w14:textId="77777777" w:rsidR="00974A61" w:rsidRDefault="00974A61" w:rsidP="00E4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30E"/>
    <w:multiLevelType w:val="hybridMultilevel"/>
    <w:tmpl w:val="6A827738"/>
    <w:lvl w:ilvl="0" w:tplc="65106D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5FE"/>
    <w:multiLevelType w:val="hybridMultilevel"/>
    <w:tmpl w:val="CE1C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0B6"/>
    <w:multiLevelType w:val="hybridMultilevel"/>
    <w:tmpl w:val="1B248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B18"/>
    <w:multiLevelType w:val="hybridMultilevel"/>
    <w:tmpl w:val="7090C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44C3"/>
    <w:multiLevelType w:val="hybridMultilevel"/>
    <w:tmpl w:val="815AD5F4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CE94BE1"/>
    <w:multiLevelType w:val="hybridMultilevel"/>
    <w:tmpl w:val="5CD23A56"/>
    <w:lvl w:ilvl="0" w:tplc="65106D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F7549"/>
    <w:multiLevelType w:val="hybridMultilevel"/>
    <w:tmpl w:val="2CD2F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6A40"/>
    <w:multiLevelType w:val="hybridMultilevel"/>
    <w:tmpl w:val="4AA85D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44DDF"/>
    <w:multiLevelType w:val="hybridMultilevel"/>
    <w:tmpl w:val="2AE01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F26"/>
    <w:multiLevelType w:val="hybridMultilevel"/>
    <w:tmpl w:val="26A4A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7386F"/>
    <w:multiLevelType w:val="hybridMultilevel"/>
    <w:tmpl w:val="B3426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219"/>
    <w:multiLevelType w:val="hybridMultilevel"/>
    <w:tmpl w:val="6F0CA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14E3"/>
    <w:multiLevelType w:val="hybridMultilevel"/>
    <w:tmpl w:val="3A9CD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06AA4"/>
    <w:multiLevelType w:val="hybridMultilevel"/>
    <w:tmpl w:val="D1CAC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7D5EEA"/>
    <w:multiLevelType w:val="hybridMultilevel"/>
    <w:tmpl w:val="BF7EF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4753F"/>
    <w:multiLevelType w:val="hybridMultilevel"/>
    <w:tmpl w:val="BFC0AC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5223B47"/>
    <w:multiLevelType w:val="hybridMultilevel"/>
    <w:tmpl w:val="46708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54BD"/>
    <w:multiLevelType w:val="hybridMultilevel"/>
    <w:tmpl w:val="3BD00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A7310"/>
    <w:multiLevelType w:val="hybridMultilevel"/>
    <w:tmpl w:val="68EA3A9C"/>
    <w:lvl w:ilvl="0" w:tplc="06A403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5579F"/>
    <w:multiLevelType w:val="hybridMultilevel"/>
    <w:tmpl w:val="84E4B4C2"/>
    <w:lvl w:ilvl="0" w:tplc="1890C5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412CA"/>
    <w:multiLevelType w:val="hybridMultilevel"/>
    <w:tmpl w:val="A5E82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B5010"/>
    <w:multiLevelType w:val="hybridMultilevel"/>
    <w:tmpl w:val="CAFCDECA"/>
    <w:lvl w:ilvl="0" w:tplc="4874E0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7F76A0"/>
    <w:multiLevelType w:val="hybridMultilevel"/>
    <w:tmpl w:val="C172E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02D98"/>
    <w:multiLevelType w:val="hybridMultilevel"/>
    <w:tmpl w:val="FD0E9C5A"/>
    <w:lvl w:ilvl="0" w:tplc="AFCEF8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3"/>
  </w:num>
  <w:num w:numId="5">
    <w:abstractNumId w:val="13"/>
  </w:num>
  <w:num w:numId="6">
    <w:abstractNumId w:val="15"/>
  </w:num>
  <w:num w:numId="7">
    <w:abstractNumId w:val="9"/>
  </w:num>
  <w:num w:numId="8">
    <w:abstractNumId w:val="10"/>
  </w:num>
  <w:num w:numId="9">
    <w:abstractNumId w:val="22"/>
  </w:num>
  <w:num w:numId="10">
    <w:abstractNumId w:val="3"/>
  </w:num>
  <w:num w:numId="11">
    <w:abstractNumId w:val="1"/>
  </w:num>
  <w:num w:numId="12">
    <w:abstractNumId w:val="19"/>
  </w:num>
  <w:num w:numId="13">
    <w:abstractNumId w:val="11"/>
  </w:num>
  <w:num w:numId="14">
    <w:abstractNumId w:val="14"/>
  </w:num>
  <w:num w:numId="15">
    <w:abstractNumId w:val="17"/>
  </w:num>
  <w:num w:numId="16">
    <w:abstractNumId w:val="6"/>
  </w:num>
  <w:num w:numId="17">
    <w:abstractNumId w:val="20"/>
  </w:num>
  <w:num w:numId="18">
    <w:abstractNumId w:val="18"/>
  </w:num>
  <w:num w:numId="19">
    <w:abstractNumId w:val="2"/>
  </w:num>
  <w:num w:numId="20">
    <w:abstractNumId w:val="21"/>
  </w:num>
  <w:num w:numId="21">
    <w:abstractNumId w:val="12"/>
  </w:num>
  <w:num w:numId="22">
    <w:abstractNumId w:val="16"/>
  </w:num>
  <w:num w:numId="23">
    <w:abstractNumId w:val="8"/>
  </w:num>
  <w:num w:numId="24">
    <w:abstractNumId w:val="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E6"/>
    <w:rsid w:val="00003676"/>
    <w:rsid w:val="00007210"/>
    <w:rsid w:val="000149AE"/>
    <w:rsid w:val="00015A18"/>
    <w:rsid w:val="00015C23"/>
    <w:rsid w:val="00024D67"/>
    <w:rsid w:val="00025E49"/>
    <w:rsid w:val="0003021F"/>
    <w:rsid w:val="00041089"/>
    <w:rsid w:val="000431B2"/>
    <w:rsid w:val="00044B67"/>
    <w:rsid w:val="000470E9"/>
    <w:rsid w:val="00053230"/>
    <w:rsid w:val="000562F9"/>
    <w:rsid w:val="00060FB1"/>
    <w:rsid w:val="00061A44"/>
    <w:rsid w:val="00065B5C"/>
    <w:rsid w:val="00065CC2"/>
    <w:rsid w:val="00065E08"/>
    <w:rsid w:val="00076D8B"/>
    <w:rsid w:val="00082AFF"/>
    <w:rsid w:val="00083CB5"/>
    <w:rsid w:val="00092415"/>
    <w:rsid w:val="0009417B"/>
    <w:rsid w:val="000A0B0C"/>
    <w:rsid w:val="000A1FAA"/>
    <w:rsid w:val="000A295C"/>
    <w:rsid w:val="000A3C09"/>
    <w:rsid w:val="000A3FCE"/>
    <w:rsid w:val="000A48BC"/>
    <w:rsid w:val="000A50BE"/>
    <w:rsid w:val="000B05F2"/>
    <w:rsid w:val="000B24B6"/>
    <w:rsid w:val="000C2213"/>
    <w:rsid w:val="000C41E5"/>
    <w:rsid w:val="000D0E26"/>
    <w:rsid w:val="000D4FA3"/>
    <w:rsid w:val="000E0F96"/>
    <w:rsid w:val="000E1CBF"/>
    <w:rsid w:val="000E37B1"/>
    <w:rsid w:val="000F2A36"/>
    <w:rsid w:val="00100C72"/>
    <w:rsid w:val="0010727A"/>
    <w:rsid w:val="00107347"/>
    <w:rsid w:val="00113A2D"/>
    <w:rsid w:val="001151AD"/>
    <w:rsid w:val="001158AE"/>
    <w:rsid w:val="00117367"/>
    <w:rsid w:val="00121FD3"/>
    <w:rsid w:val="0013035C"/>
    <w:rsid w:val="00131DEF"/>
    <w:rsid w:val="001409F3"/>
    <w:rsid w:val="00144AB0"/>
    <w:rsid w:val="001557AC"/>
    <w:rsid w:val="00157577"/>
    <w:rsid w:val="00160787"/>
    <w:rsid w:val="00161714"/>
    <w:rsid w:val="0016179F"/>
    <w:rsid w:val="001645DB"/>
    <w:rsid w:val="001676F6"/>
    <w:rsid w:val="00171A1C"/>
    <w:rsid w:val="00175AF7"/>
    <w:rsid w:val="00182480"/>
    <w:rsid w:val="00195648"/>
    <w:rsid w:val="0019709E"/>
    <w:rsid w:val="001A0030"/>
    <w:rsid w:val="001B49BF"/>
    <w:rsid w:val="001C4314"/>
    <w:rsid w:val="001C4547"/>
    <w:rsid w:val="001C4BBB"/>
    <w:rsid w:val="001D0B3F"/>
    <w:rsid w:val="001D268D"/>
    <w:rsid w:val="001D2C17"/>
    <w:rsid w:val="001D751D"/>
    <w:rsid w:val="001D7C85"/>
    <w:rsid w:val="001E7740"/>
    <w:rsid w:val="001F3283"/>
    <w:rsid w:val="001F3F6D"/>
    <w:rsid w:val="001F73DF"/>
    <w:rsid w:val="002112A5"/>
    <w:rsid w:val="00216524"/>
    <w:rsid w:val="0022073E"/>
    <w:rsid w:val="00221628"/>
    <w:rsid w:val="00222DC5"/>
    <w:rsid w:val="00224D3D"/>
    <w:rsid w:val="00230833"/>
    <w:rsid w:val="002338DB"/>
    <w:rsid w:val="0023756E"/>
    <w:rsid w:val="00242C7E"/>
    <w:rsid w:val="00243F52"/>
    <w:rsid w:val="00251B8B"/>
    <w:rsid w:val="002531AC"/>
    <w:rsid w:val="00254639"/>
    <w:rsid w:val="00254DC5"/>
    <w:rsid w:val="0025621B"/>
    <w:rsid w:val="00256A52"/>
    <w:rsid w:val="00257026"/>
    <w:rsid w:val="002626D3"/>
    <w:rsid w:val="00263FAB"/>
    <w:rsid w:val="00274F5D"/>
    <w:rsid w:val="00276187"/>
    <w:rsid w:val="002867BA"/>
    <w:rsid w:val="00294D2F"/>
    <w:rsid w:val="00296296"/>
    <w:rsid w:val="00296A4A"/>
    <w:rsid w:val="002A2409"/>
    <w:rsid w:val="002A2C1E"/>
    <w:rsid w:val="002A4BBD"/>
    <w:rsid w:val="002A7CF6"/>
    <w:rsid w:val="002B1B90"/>
    <w:rsid w:val="002B2068"/>
    <w:rsid w:val="002B58F2"/>
    <w:rsid w:val="002C097C"/>
    <w:rsid w:val="002C0A92"/>
    <w:rsid w:val="002C3769"/>
    <w:rsid w:val="002C48FC"/>
    <w:rsid w:val="002C5CD9"/>
    <w:rsid w:val="002C6602"/>
    <w:rsid w:val="002F0F20"/>
    <w:rsid w:val="002F2CD9"/>
    <w:rsid w:val="002F32E1"/>
    <w:rsid w:val="002F3944"/>
    <w:rsid w:val="002F6B6E"/>
    <w:rsid w:val="00303E95"/>
    <w:rsid w:val="00307B62"/>
    <w:rsid w:val="003114AA"/>
    <w:rsid w:val="00311975"/>
    <w:rsid w:val="00314526"/>
    <w:rsid w:val="003153D7"/>
    <w:rsid w:val="00315A94"/>
    <w:rsid w:val="0031608A"/>
    <w:rsid w:val="00316BB9"/>
    <w:rsid w:val="00322FDC"/>
    <w:rsid w:val="00332BF6"/>
    <w:rsid w:val="00336402"/>
    <w:rsid w:val="0033793D"/>
    <w:rsid w:val="00337EEF"/>
    <w:rsid w:val="00341A39"/>
    <w:rsid w:val="00341BBC"/>
    <w:rsid w:val="0034262A"/>
    <w:rsid w:val="003460C3"/>
    <w:rsid w:val="003476E2"/>
    <w:rsid w:val="003502AE"/>
    <w:rsid w:val="00351B73"/>
    <w:rsid w:val="003554A7"/>
    <w:rsid w:val="00362DE6"/>
    <w:rsid w:val="003707AC"/>
    <w:rsid w:val="00370E2C"/>
    <w:rsid w:val="00371960"/>
    <w:rsid w:val="003743F3"/>
    <w:rsid w:val="00375199"/>
    <w:rsid w:val="00375255"/>
    <w:rsid w:val="00376814"/>
    <w:rsid w:val="003769B9"/>
    <w:rsid w:val="0038344D"/>
    <w:rsid w:val="003857E4"/>
    <w:rsid w:val="00386277"/>
    <w:rsid w:val="003904AA"/>
    <w:rsid w:val="003918CD"/>
    <w:rsid w:val="00393251"/>
    <w:rsid w:val="003937C5"/>
    <w:rsid w:val="003938E4"/>
    <w:rsid w:val="003A4B10"/>
    <w:rsid w:val="003A572D"/>
    <w:rsid w:val="003B0B84"/>
    <w:rsid w:val="003B2815"/>
    <w:rsid w:val="003B3DF9"/>
    <w:rsid w:val="003B40D1"/>
    <w:rsid w:val="003B4B3F"/>
    <w:rsid w:val="003B4EA7"/>
    <w:rsid w:val="003C06BF"/>
    <w:rsid w:val="003C40D9"/>
    <w:rsid w:val="003C5AD3"/>
    <w:rsid w:val="003D18BC"/>
    <w:rsid w:val="003D3062"/>
    <w:rsid w:val="003D43E5"/>
    <w:rsid w:val="003E1E61"/>
    <w:rsid w:val="003E6CD5"/>
    <w:rsid w:val="00403E69"/>
    <w:rsid w:val="00404B66"/>
    <w:rsid w:val="00405F0A"/>
    <w:rsid w:val="00410600"/>
    <w:rsid w:val="004154B4"/>
    <w:rsid w:val="0041638C"/>
    <w:rsid w:val="004307B4"/>
    <w:rsid w:val="00433E9A"/>
    <w:rsid w:val="00436737"/>
    <w:rsid w:val="00440ED7"/>
    <w:rsid w:val="004420D2"/>
    <w:rsid w:val="004479A3"/>
    <w:rsid w:val="0045240F"/>
    <w:rsid w:val="00460E4D"/>
    <w:rsid w:val="004621BC"/>
    <w:rsid w:val="0046237A"/>
    <w:rsid w:val="00463653"/>
    <w:rsid w:val="00465C01"/>
    <w:rsid w:val="004663AB"/>
    <w:rsid w:val="004672B1"/>
    <w:rsid w:val="00470300"/>
    <w:rsid w:val="00470B2F"/>
    <w:rsid w:val="004711B2"/>
    <w:rsid w:val="00474036"/>
    <w:rsid w:val="004742E8"/>
    <w:rsid w:val="00474FEB"/>
    <w:rsid w:val="00475C60"/>
    <w:rsid w:val="00485D0C"/>
    <w:rsid w:val="00486CFF"/>
    <w:rsid w:val="00490825"/>
    <w:rsid w:val="00490EED"/>
    <w:rsid w:val="0049289C"/>
    <w:rsid w:val="00494317"/>
    <w:rsid w:val="00495577"/>
    <w:rsid w:val="00497B3E"/>
    <w:rsid w:val="004A40CA"/>
    <w:rsid w:val="004B04E3"/>
    <w:rsid w:val="004B0A0D"/>
    <w:rsid w:val="004C04C6"/>
    <w:rsid w:val="004C0A87"/>
    <w:rsid w:val="004C111B"/>
    <w:rsid w:val="004C2AC4"/>
    <w:rsid w:val="004C414F"/>
    <w:rsid w:val="004D403D"/>
    <w:rsid w:val="004D5927"/>
    <w:rsid w:val="004D62E8"/>
    <w:rsid w:val="004E3DEC"/>
    <w:rsid w:val="004E5816"/>
    <w:rsid w:val="004F35DD"/>
    <w:rsid w:val="0050048F"/>
    <w:rsid w:val="00500719"/>
    <w:rsid w:val="0051114B"/>
    <w:rsid w:val="005113A9"/>
    <w:rsid w:val="0051146E"/>
    <w:rsid w:val="00514379"/>
    <w:rsid w:val="00514814"/>
    <w:rsid w:val="00516080"/>
    <w:rsid w:val="00517B1D"/>
    <w:rsid w:val="005251CC"/>
    <w:rsid w:val="00525B92"/>
    <w:rsid w:val="00525C5A"/>
    <w:rsid w:val="00537DC3"/>
    <w:rsid w:val="005442CA"/>
    <w:rsid w:val="00556C49"/>
    <w:rsid w:val="00560785"/>
    <w:rsid w:val="00562BCC"/>
    <w:rsid w:val="00563D3D"/>
    <w:rsid w:val="00574D9C"/>
    <w:rsid w:val="005801DE"/>
    <w:rsid w:val="00581381"/>
    <w:rsid w:val="00583249"/>
    <w:rsid w:val="005834F9"/>
    <w:rsid w:val="00590F6F"/>
    <w:rsid w:val="00593434"/>
    <w:rsid w:val="00597733"/>
    <w:rsid w:val="005A209F"/>
    <w:rsid w:val="005A4913"/>
    <w:rsid w:val="005A7A7B"/>
    <w:rsid w:val="005B6A70"/>
    <w:rsid w:val="005C1F2F"/>
    <w:rsid w:val="005C2AAF"/>
    <w:rsid w:val="005C4872"/>
    <w:rsid w:val="005C6270"/>
    <w:rsid w:val="005C6E99"/>
    <w:rsid w:val="005D1290"/>
    <w:rsid w:val="005D1FB5"/>
    <w:rsid w:val="005E3BD2"/>
    <w:rsid w:val="005E426B"/>
    <w:rsid w:val="005E56CC"/>
    <w:rsid w:val="005F684D"/>
    <w:rsid w:val="0060066C"/>
    <w:rsid w:val="0060292A"/>
    <w:rsid w:val="00603CAC"/>
    <w:rsid w:val="00606DF2"/>
    <w:rsid w:val="00607F64"/>
    <w:rsid w:val="006136AC"/>
    <w:rsid w:val="00616602"/>
    <w:rsid w:val="00620C81"/>
    <w:rsid w:val="00621A03"/>
    <w:rsid w:val="0062329C"/>
    <w:rsid w:val="006248EC"/>
    <w:rsid w:val="00643D26"/>
    <w:rsid w:val="00647DAF"/>
    <w:rsid w:val="006521C8"/>
    <w:rsid w:val="006527F3"/>
    <w:rsid w:val="00652C86"/>
    <w:rsid w:val="0065442E"/>
    <w:rsid w:val="0065474B"/>
    <w:rsid w:val="00656844"/>
    <w:rsid w:val="00657EB2"/>
    <w:rsid w:val="00660227"/>
    <w:rsid w:val="0066269D"/>
    <w:rsid w:val="00663B36"/>
    <w:rsid w:val="00664256"/>
    <w:rsid w:val="00673E9D"/>
    <w:rsid w:val="006742F8"/>
    <w:rsid w:val="00675B50"/>
    <w:rsid w:val="00680CC9"/>
    <w:rsid w:val="00681B03"/>
    <w:rsid w:val="0068575C"/>
    <w:rsid w:val="00686478"/>
    <w:rsid w:val="00691DB0"/>
    <w:rsid w:val="00695B04"/>
    <w:rsid w:val="0069661B"/>
    <w:rsid w:val="006A22FB"/>
    <w:rsid w:val="006A403F"/>
    <w:rsid w:val="006B0FF3"/>
    <w:rsid w:val="006B25F0"/>
    <w:rsid w:val="006B7B1B"/>
    <w:rsid w:val="006C3873"/>
    <w:rsid w:val="006C3DDA"/>
    <w:rsid w:val="006C4493"/>
    <w:rsid w:val="006D0702"/>
    <w:rsid w:val="006D3A07"/>
    <w:rsid w:val="006D55EB"/>
    <w:rsid w:val="006F4B1E"/>
    <w:rsid w:val="0070008A"/>
    <w:rsid w:val="00700430"/>
    <w:rsid w:val="00701379"/>
    <w:rsid w:val="00701AAB"/>
    <w:rsid w:val="00714CE6"/>
    <w:rsid w:val="00715B10"/>
    <w:rsid w:val="0072037E"/>
    <w:rsid w:val="00722284"/>
    <w:rsid w:val="0072605E"/>
    <w:rsid w:val="00726128"/>
    <w:rsid w:val="00730199"/>
    <w:rsid w:val="00735236"/>
    <w:rsid w:val="00744182"/>
    <w:rsid w:val="00754C47"/>
    <w:rsid w:val="0075579A"/>
    <w:rsid w:val="00762F2F"/>
    <w:rsid w:val="007669D7"/>
    <w:rsid w:val="00770C56"/>
    <w:rsid w:val="0078154C"/>
    <w:rsid w:val="0078169E"/>
    <w:rsid w:val="007942E6"/>
    <w:rsid w:val="007978C7"/>
    <w:rsid w:val="007A054A"/>
    <w:rsid w:val="007A2841"/>
    <w:rsid w:val="007A7DDE"/>
    <w:rsid w:val="007B41F1"/>
    <w:rsid w:val="007B4942"/>
    <w:rsid w:val="007C2F57"/>
    <w:rsid w:val="007D144B"/>
    <w:rsid w:val="007D1C3B"/>
    <w:rsid w:val="007E1DC6"/>
    <w:rsid w:val="007E34A6"/>
    <w:rsid w:val="007E4EDE"/>
    <w:rsid w:val="007E5089"/>
    <w:rsid w:val="007F0E35"/>
    <w:rsid w:val="007F125C"/>
    <w:rsid w:val="007F5CD0"/>
    <w:rsid w:val="007F7476"/>
    <w:rsid w:val="008013AD"/>
    <w:rsid w:val="008024AF"/>
    <w:rsid w:val="008041A5"/>
    <w:rsid w:val="008132C6"/>
    <w:rsid w:val="00813494"/>
    <w:rsid w:val="008171B1"/>
    <w:rsid w:val="00822E2A"/>
    <w:rsid w:val="00831F88"/>
    <w:rsid w:val="00834304"/>
    <w:rsid w:val="00834C7C"/>
    <w:rsid w:val="00834E84"/>
    <w:rsid w:val="0083539C"/>
    <w:rsid w:val="00836A9E"/>
    <w:rsid w:val="00842ECC"/>
    <w:rsid w:val="00851E0C"/>
    <w:rsid w:val="00856F38"/>
    <w:rsid w:val="008573B1"/>
    <w:rsid w:val="00861B0F"/>
    <w:rsid w:val="00863A0E"/>
    <w:rsid w:val="00863F2E"/>
    <w:rsid w:val="00865A66"/>
    <w:rsid w:val="00875FE6"/>
    <w:rsid w:val="008807AF"/>
    <w:rsid w:val="00881020"/>
    <w:rsid w:val="00885B11"/>
    <w:rsid w:val="008939DE"/>
    <w:rsid w:val="008943C3"/>
    <w:rsid w:val="00895399"/>
    <w:rsid w:val="00895E37"/>
    <w:rsid w:val="008A25EC"/>
    <w:rsid w:val="008A3D46"/>
    <w:rsid w:val="008B0048"/>
    <w:rsid w:val="008B1F2C"/>
    <w:rsid w:val="008C102D"/>
    <w:rsid w:val="008C788E"/>
    <w:rsid w:val="008D4AFA"/>
    <w:rsid w:val="008D4B55"/>
    <w:rsid w:val="008E1A03"/>
    <w:rsid w:val="008E2796"/>
    <w:rsid w:val="008E3BF3"/>
    <w:rsid w:val="008E3F25"/>
    <w:rsid w:val="008E432C"/>
    <w:rsid w:val="008E5CF6"/>
    <w:rsid w:val="008E6DC0"/>
    <w:rsid w:val="008F0513"/>
    <w:rsid w:val="008F6493"/>
    <w:rsid w:val="008F6A57"/>
    <w:rsid w:val="00903DF4"/>
    <w:rsid w:val="00907C62"/>
    <w:rsid w:val="009116C1"/>
    <w:rsid w:val="009131BA"/>
    <w:rsid w:val="009152AB"/>
    <w:rsid w:val="009155DE"/>
    <w:rsid w:val="00915CE8"/>
    <w:rsid w:val="00917273"/>
    <w:rsid w:val="00917772"/>
    <w:rsid w:val="009216DC"/>
    <w:rsid w:val="00925665"/>
    <w:rsid w:val="0092657E"/>
    <w:rsid w:val="00927B37"/>
    <w:rsid w:val="00934BC7"/>
    <w:rsid w:val="009415CC"/>
    <w:rsid w:val="00945DEC"/>
    <w:rsid w:val="00947907"/>
    <w:rsid w:val="00950F34"/>
    <w:rsid w:val="00951A23"/>
    <w:rsid w:val="00952311"/>
    <w:rsid w:val="00954BA6"/>
    <w:rsid w:val="0095581D"/>
    <w:rsid w:val="00957E8A"/>
    <w:rsid w:val="00962EF0"/>
    <w:rsid w:val="0096407B"/>
    <w:rsid w:val="00964F7E"/>
    <w:rsid w:val="00966280"/>
    <w:rsid w:val="00972975"/>
    <w:rsid w:val="0097449E"/>
    <w:rsid w:val="00974A61"/>
    <w:rsid w:val="00976EEF"/>
    <w:rsid w:val="00982624"/>
    <w:rsid w:val="00984ADD"/>
    <w:rsid w:val="00986199"/>
    <w:rsid w:val="00991080"/>
    <w:rsid w:val="00991C94"/>
    <w:rsid w:val="009978D2"/>
    <w:rsid w:val="009A108F"/>
    <w:rsid w:val="009C22D3"/>
    <w:rsid w:val="009C238B"/>
    <w:rsid w:val="009D361A"/>
    <w:rsid w:val="009D6672"/>
    <w:rsid w:val="009D769B"/>
    <w:rsid w:val="009E2B48"/>
    <w:rsid w:val="009E31AD"/>
    <w:rsid w:val="009E342A"/>
    <w:rsid w:val="009E34AA"/>
    <w:rsid w:val="009E3F82"/>
    <w:rsid w:val="009E6275"/>
    <w:rsid w:val="009F11D8"/>
    <w:rsid w:val="009F27F6"/>
    <w:rsid w:val="00A121BD"/>
    <w:rsid w:val="00A14BA9"/>
    <w:rsid w:val="00A151AC"/>
    <w:rsid w:val="00A21063"/>
    <w:rsid w:val="00A22315"/>
    <w:rsid w:val="00A25BD2"/>
    <w:rsid w:val="00A25FED"/>
    <w:rsid w:val="00A312F4"/>
    <w:rsid w:val="00A323BF"/>
    <w:rsid w:val="00A32948"/>
    <w:rsid w:val="00A33260"/>
    <w:rsid w:val="00A407AF"/>
    <w:rsid w:val="00A40CD9"/>
    <w:rsid w:val="00A45967"/>
    <w:rsid w:val="00A45A7B"/>
    <w:rsid w:val="00A47992"/>
    <w:rsid w:val="00A51A75"/>
    <w:rsid w:val="00A60FBD"/>
    <w:rsid w:val="00A61701"/>
    <w:rsid w:val="00A640E6"/>
    <w:rsid w:val="00A64170"/>
    <w:rsid w:val="00A6454E"/>
    <w:rsid w:val="00A67550"/>
    <w:rsid w:val="00A67D59"/>
    <w:rsid w:val="00A75066"/>
    <w:rsid w:val="00A83D4E"/>
    <w:rsid w:val="00A85D14"/>
    <w:rsid w:val="00A907B9"/>
    <w:rsid w:val="00A97232"/>
    <w:rsid w:val="00AA3F59"/>
    <w:rsid w:val="00AA7CC4"/>
    <w:rsid w:val="00AB375F"/>
    <w:rsid w:val="00AB42D0"/>
    <w:rsid w:val="00AB4477"/>
    <w:rsid w:val="00AC50BD"/>
    <w:rsid w:val="00AD02DE"/>
    <w:rsid w:val="00AD2B83"/>
    <w:rsid w:val="00AD5175"/>
    <w:rsid w:val="00AD671E"/>
    <w:rsid w:val="00AF0C22"/>
    <w:rsid w:val="00AF0DD0"/>
    <w:rsid w:val="00AF13E9"/>
    <w:rsid w:val="00AF3984"/>
    <w:rsid w:val="00B051D5"/>
    <w:rsid w:val="00B075E5"/>
    <w:rsid w:val="00B1247E"/>
    <w:rsid w:val="00B14825"/>
    <w:rsid w:val="00B16B0D"/>
    <w:rsid w:val="00B17533"/>
    <w:rsid w:val="00B30D0D"/>
    <w:rsid w:val="00B31A90"/>
    <w:rsid w:val="00B31B5B"/>
    <w:rsid w:val="00B43424"/>
    <w:rsid w:val="00B435E6"/>
    <w:rsid w:val="00B47798"/>
    <w:rsid w:val="00B50214"/>
    <w:rsid w:val="00B52922"/>
    <w:rsid w:val="00B539F7"/>
    <w:rsid w:val="00B578E6"/>
    <w:rsid w:val="00B659FA"/>
    <w:rsid w:val="00B74A3C"/>
    <w:rsid w:val="00B76234"/>
    <w:rsid w:val="00B84039"/>
    <w:rsid w:val="00B8531A"/>
    <w:rsid w:val="00BA5EAD"/>
    <w:rsid w:val="00BB08CA"/>
    <w:rsid w:val="00BB4347"/>
    <w:rsid w:val="00BC3B47"/>
    <w:rsid w:val="00BC56A7"/>
    <w:rsid w:val="00BD3958"/>
    <w:rsid w:val="00BE3A80"/>
    <w:rsid w:val="00BE3BFB"/>
    <w:rsid w:val="00BE5644"/>
    <w:rsid w:val="00BE6010"/>
    <w:rsid w:val="00BF2529"/>
    <w:rsid w:val="00BF3059"/>
    <w:rsid w:val="00BF5824"/>
    <w:rsid w:val="00BF7115"/>
    <w:rsid w:val="00C0143D"/>
    <w:rsid w:val="00C037CC"/>
    <w:rsid w:val="00C06767"/>
    <w:rsid w:val="00C0798A"/>
    <w:rsid w:val="00C119EB"/>
    <w:rsid w:val="00C16351"/>
    <w:rsid w:val="00C20CE0"/>
    <w:rsid w:val="00C23A83"/>
    <w:rsid w:val="00C246E8"/>
    <w:rsid w:val="00C259F8"/>
    <w:rsid w:val="00C278C5"/>
    <w:rsid w:val="00C34EE2"/>
    <w:rsid w:val="00C37569"/>
    <w:rsid w:val="00C4081D"/>
    <w:rsid w:val="00C409D2"/>
    <w:rsid w:val="00C41A2D"/>
    <w:rsid w:val="00C456BB"/>
    <w:rsid w:val="00C45BF9"/>
    <w:rsid w:val="00C51922"/>
    <w:rsid w:val="00C51BCB"/>
    <w:rsid w:val="00C63C34"/>
    <w:rsid w:val="00C6716C"/>
    <w:rsid w:val="00C72EEC"/>
    <w:rsid w:val="00C84FE5"/>
    <w:rsid w:val="00C87286"/>
    <w:rsid w:val="00C941BE"/>
    <w:rsid w:val="00C96869"/>
    <w:rsid w:val="00C96B5A"/>
    <w:rsid w:val="00C97E2C"/>
    <w:rsid w:val="00CA1322"/>
    <w:rsid w:val="00CA18DE"/>
    <w:rsid w:val="00CB14FD"/>
    <w:rsid w:val="00CB1D7F"/>
    <w:rsid w:val="00CB1F4A"/>
    <w:rsid w:val="00CB3AA6"/>
    <w:rsid w:val="00CB3DEC"/>
    <w:rsid w:val="00CB7E3D"/>
    <w:rsid w:val="00CC3F0F"/>
    <w:rsid w:val="00CC4F1A"/>
    <w:rsid w:val="00CC61BC"/>
    <w:rsid w:val="00CD1D9B"/>
    <w:rsid w:val="00CD2343"/>
    <w:rsid w:val="00CD2547"/>
    <w:rsid w:val="00CD2CDD"/>
    <w:rsid w:val="00CD336D"/>
    <w:rsid w:val="00CD3C44"/>
    <w:rsid w:val="00CD46B9"/>
    <w:rsid w:val="00CD7DFA"/>
    <w:rsid w:val="00CE2B1D"/>
    <w:rsid w:val="00CE2B33"/>
    <w:rsid w:val="00CE33CA"/>
    <w:rsid w:val="00CF454D"/>
    <w:rsid w:val="00D00788"/>
    <w:rsid w:val="00D0282A"/>
    <w:rsid w:val="00D04ED0"/>
    <w:rsid w:val="00D0515A"/>
    <w:rsid w:val="00D05FDF"/>
    <w:rsid w:val="00D063D2"/>
    <w:rsid w:val="00D10F2B"/>
    <w:rsid w:val="00D12632"/>
    <w:rsid w:val="00D1427F"/>
    <w:rsid w:val="00D14E7A"/>
    <w:rsid w:val="00D17CCC"/>
    <w:rsid w:val="00D2269C"/>
    <w:rsid w:val="00D25174"/>
    <w:rsid w:val="00D375D1"/>
    <w:rsid w:val="00D510BF"/>
    <w:rsid w:val="00D518B1"/>
    <w:rsid w:val="00D5709B"/>
    <w:rsid w:val="00D579CD"/>
    <w:rsid w:val="00D616D5"/>
    <w:rsid w:val="00D64B0C"/>
    <w:rsid w:val="00D65DDA"/>
    <w:rsid w:val="00D7058A"/>
    <w:rsid w:val="00D716A8"/>
    <w:rsid w:val="00D75110"/>
    <w:rsid w:val="00D752B8"/>
    <w:rsid w:val="00D77366"/>
    <w:rsid w:val="00D775A8"/>
    <w:rsid w:val="00D8065F"/>
    <w:rsid w:val="00D831B2"/>
    <w:rsid w:val="00D83437"/>
    <w:rsid w:val="00D84095"/>
    <w:rsid w:val="00D87E03"/>
    <w:rsid w:val="00D93D7A"/>
    <w:rsid w:val="00D94F54"/>
    <w:rsid w:val="00D9723A"/>
    <w:rsid w:val="00D97EFD"/>
    <w:rsid w:val="00DA0724"/>
    <w:rsid w:val="00DA1613"/>
    <w:rsid w:val="00DB2471"/>
    <w:rsid w:val="00DB30AF"/>
    <w:rsid w:val="00DB3F89"/>
    <w:rsid w:val="00DB4037"/>
    <w:rsid w:val="00DB5B98"/>
    <w:rsid w:val="00DB766B"/>
    <w:rsid w:val="00DC1AE3"/>
    <w:rsid w:val="00DC2301"/>
    <w:rsid w:val="00DC416B"/>
    <w:rsid w:val="00DD198E"/>
    <w:rsid w:val="00DD3080"/>
    <w:rsid w:val="00DD3F6E"/>
    <w:rsid w:val="00DD548B"/>
    <w:rsid w:val="00DE5B9E"/>
    <w:rsid w:val="00DE6364"/>
    <w:rsid w:val="00DE7AEF"/>
    <w:rsid w:val="00DF1782"/>
    <w:rsid w:val="00DF1B65"/>
    <w:rsid w:val="00DF1F46"/>
    <w:rsid w:val="00DF2355"/>
    <w:rsid w:val="00DF3F59"/>
    <w:rsid w:val="00E04838"/>
    <w:rsid w:val="00E1022B"/>
    <w:rsid w:val="00E10CD1"/>
    <w:rsid w:val="00E12422"/>
    <w:rsid w:val="00E170C9"/>
    <w:rsid w:val="00E22A15"/>
    <w:rsid w:val="00E30884"/>
    <w:rsid w:val="00E34CD3"/>
    <w:rsid w:val="00E353E5"/>
    <w:rsid w:val="00E3792C"/>
    <w:rsid w:val="00E44981"/>
    <w:rsid w:val="00E45F92"/>
    <w:rsid w:val="00E461D5"/>
    <w:rsid w:val="00E50E9B"/>
    <w:rsid w:val="00E51CA7"/>
    <w:rsid w:val="00E52CB4"/>
    <w:rsid w:val="00E65389"/>
    <w:rsid w:val="00E71C12"/>
    <w:rsid w:val="00E75484"/>
    <w:rsid w:val="00E76451"/>
    <w:rsid w:val="00E76FAF"/>
    <w:rsid w:val="00E80082"/>
    <w:rsid w:val="00E82A29"/>
    <w:rsid w:val="00E84D90"/>
    <w:rsid w:val="00E91C7F"/>
    <w:rsid w:val="00E94764"/>
    <w:rsid w:val="00E9483F"/>
    <w:rsid w:val="00EA0983"/>
    <w:rsid w:val="00EA1F0E"/>
    <w:rsid w:val="00EA7699"/>
    <w:rsid w:val="00EB42B4"/>
    <w:rsid w:val="00EB4E4A"/>
    <w:rsid w:val="00EC11FE"/>
    <w:rsid w:val="00EC4A3F"/>
    <w:rsid w:val="00EC78D8"/>
    <w:rsid w:val="00ED09BA"/>
    <w:rsid w:val="00ED11BB"/>
    <w:rsid w:val="00ED1E6D"/>
    <w:rsid w:val="00ED20A2"/>
    <w:rsid w:val="00ED49F1"/>
    <w:rsid w:val="00ED7348"/>
    <w:rsid w:val="00EE5B44"/>
    <w:rsid w:val="00EE5F9E"/>
    <w:rsid w:val="00EE7076"/>
    <w:rsid w:val="00EF1815"/>
    <w:rsid w:val="00EF3078"/>
    <w:rsid w:val="00F0151D"/>
    <w:rsid w:val="00F027B6"/>
    <w:rsid w:val="00F02D77"/>
    <w:rsid w:val="00F04B1F"/>
    <w:rsid w:val="00F15774"/>
    <w:rsid w:val="00F20B94"/>
    <w:rsid w:val="00F22508"/>
    <w:rsid w:val="00F41052"/>
    <w:rsid w:val="00F41115"/>
    <w:rsid w:val="00F411F8"/>
    <w:rsid w:val="00F436FD"/>
    <w:rsid w:val="00F44187"/>
    <w:rsid w:val="00F4463D"/>
    <w:rsid w:val="00F44F00"/>
    <w:rsid w:val="00F45F9E"/>
    <w:rsid w:val="00F47234"/>
    <w:rsid w:val="00F5377A"/>
    <w:rsid w:val="00F5378F"/>
    <w:rsid w:val="00F67198"/>
    <w:rsid w:val="00F701FA"/>
    <w:rsid w:val="00F7069E"/>
    <w:rsid w:val="00F71320"/>
    <w:rsid w:val="00F836C1"/>
    <w:rsid w:val="00F86120"/>
    <w:rsid w:val="00F87908"/>
    <w:rsid w:val="00F87C9B"/>
    <w:rsid w:val="00F940B8"/>
    <w:rsid w:val="00F94B09"/>
    <w:rsid w:val="00F96C7B"/>
    <w:rsid w:val="00F96DAB"/>
    <w:rsid w:val="00FA26DE"/>
    <w:rsid w:val="00FA36FB"/>
    <w:rsid w:val="00FA46B8"/>
    <w:rsid w:val="00FA662F"/>
    <w:rsid w:val="00FB4A5D"/>
    <w:rsid w:val="00FB58B8"/>
    <w:rsid w:val="00FC492B"/>
    <w:rsid w:val="00FC624C"/>
    <w:rsid w:val="00FE540F"/>
    <w:rsid w:val="00FE7DC0"/>
    <w:rsid w:val="00FF12AE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54856"/>
  <w15:docId w15:val="{3F75C6F7-5E15-4BF9-AE8E-49B53BEC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C5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D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D5"/>
  </w:style>
  <w:style w:type="paragraph" w:styleId="Footer">
    <w:name w:val="footer"/>
    <w:basedOn w:val="Normal"/>
    <w:link w:val="FooterChar"/>
    <w:uiPriority w:val="99"/>
    <w:unhideWhenUsed/>
    <w:qFormat/>
    <w:rsid w:val="00E4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D5"/>
  </w:style>
  <w:style w:type="paragraph" w:styleId="BalloonText">
    <w:name w:val="Balloon Text"/>
    <w:basedOn w:val="Normal"/>
    <w:link w:val="BalloonTextChar"/>
    <w:uiPriority w:val="99"/>
    <w:semiHidden/>
    <w:unhideWhenUsed/>
    <w:rsid w:val="007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1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3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54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2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6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0C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70C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file1\obfs_treasury\Investments\Administration\Source%20Data\Source%20Data_6.30.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file1\obfs_treasury\Investments\Administration\Source%20Data\Source%20Data_6.30.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file1\obfs_treasury\Investments\Administration\Source%20Data\Source%20Data_6.30.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file1\obfs_treasury\Investments\Administration\Source%20Data\Source%20Data_6.30.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ui.uillinois.edu\obfs\files\Treasury\Investments\Administration\Source%20Data\Source%20Data_6.30.20.xlsx" TargetMode="External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ui.uillinois.edu\obfs\files\Treasury\Investments\Administration\Source%20Data\Source%20Data_6.30.20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file1\obfs_treasury\Investments\Administration\Source%20Data\Source%20Data_6.30.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ui.uillinois.edu\obfs\files\Treasury\Investments\Administration\Source%20Data\Source%20Data_6.30.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/>
              <a:t>System Endowment and Operating</a:t>
            </a:r>
            <a:r>
              <a:rPr lang="en-US" sz="1200" b="1" baseline="0"/>
              <a:t> Assets</a:t>
            </a:r>
          </a:p>
          <a:p>
            <a:pPr>
              <a:defRPr sz="1200"/>
            </a:pPr>
            <a:r>
              <a:rPr lang="en-US" sz="1200" baseline="0"/>
              <a:t>$3.89 Billion as of June 30,2021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367177786987156E-2"/>
          <c:y val="0.14434681304523619"/>
          <c:w val="0.84069240382823107"/>
          <c:h val="0.82133459897628125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E9-4F2C-AD66-16F4740505DA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E9-4F2C-AD66-16F4740505DA}"/>
              </c:ext>
            </c:extLst>
          </c:dPt>
          <c:dPt>
            <c:idx val="2"/>
            <c:bubble3D val="0"/>
            <c:spPr>
              <a:solidFill>
                <a:srgbClr val="E0303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E9-4F2C-AD66-16F4740505DA}"/>
              </c:ext>
            </c:extLst>
          </c:dPt>
          <c:dPt>
            <c:idx val="3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E9-4F2C-AD66-16F4740505DA}"/>
              </c:ext>
            </c:extLst>
          </c:dPt>
          <c:dPt>
            <c:idx val="4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E9-4F2C-AD66-16F4740505DA}"/>
              </c:ext>
            </c:extLst>
          </c:dPt>
          <c:dPt>
            <c:idx val="5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CE9-4F2C-AD66-16F4740505DA}"/>
              </c:ext>
            </c:extLst>
          </c:dPt>
          <c:dLbls>
            <c:dLbl>
              <c:idx val="0"/>
              <c:layout>
                <c:manualLayout>
                  <c:x val="0.12186296571257224"/>
                  <c:y val="-8.80467616910469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E9-4F2C-AD66-16F4740505DA}"/>
                </c:ext>
              </c:extLst>
            </c:dLbl>
            <c:dLbl>
              <c:idx val="1"/>
              <c:layout>
                <c:manualLayout>
                  <c:x val="-0.13820158728036763"/>
                  <c:y val="0.1738589530094638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125457058875101"/>
                      <c:h val="0.162948328308344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CE9-4F2C-AD66-16F4740505DA}"/>
                </c:ext>
              </c:extLst>
            </c:dLbl>
            <c:dLbl>
              <c:idx val="2"/>
              <c:layout>
                <c:manualLayout>
                  <c:x val="-6.2377838283735176E-3"/>
                  <c:y val="-0.10245254175075529"/>
                </c:manualLayout>
              </c:layout>
              <c:numFmt formatCode="&quot;$&quot;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E9-4F2C-AD66-16F4740505DA}"/>
                </c:ext>
              </c:extLst>
            </c:dLbl>
            <c:dLbl>
              <c:idx val="3"/>
              <c:layout>
                <c:manualLayout>
                  <c:x val="-0.12319623061037697"/>
                  <c:y val="4.878692464321680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CE9-4F2C-AD66-16F4740505DA}"/>
                </c:ext>
              </c:extLst>
            </c:dLbl>
            <c:dLbl>
              <c:idx val="4"/>
              <c:layout>
                <c:manualLayout>
                  <c:x val="-0.11539900082491007"/>
                  <c:y val="-3.6590193482412693E-2"/>
                </c:manualLayout>
              </c:layout>
              <c:tx>
                <c:rich>
                  <a:bodyPr/>
                  <a:lstStyle/>
                  <a:p>
                    <a:fld id="{610682B3-8536-4099-AD8A-B0B603E26C4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$465.1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CE9-4F2C-AD66-16F4740505DA}"/>
                </c:ext>
              </c:extLst>
            </c:dLbl>
            <c:dLbl>
              <c:idx val="5"/>
              <c:layout>
                <c:manualLayout>
                  <c:x val="-0.20863708674785772"/>
                  <c:y val="-7.5628927585096246E-4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Endowed Funds</a:t>
                    </a:r>
                    <a:endParaRPr lang="en-US" baseline="0" dirty="0"/>
                  </a:p>
                  <a:p>
                    <a:r>
                      <a:rPr lang="en-US"/>
                      <a:t>$543.0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CE9-4F2C-AD66-16F4740505DA}"/>
                </c:ext>
              </c:extLst>
            </c:dLbl>
            <c:numFmt formatCode="&quot;$&quot;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Operating Pool</c:v>
                </c:pt>
                <c:pt idx="1">
                  <c:v>Permanent Core</c:v>
                </c:pt>
                <c:pt idx="2">
                  <c:v>Separately Invested</c:v>
                </c:pt>
                <c:pt idx="3">
                  <c:v>Farms</c:v>
                </c:pt>
                <c:pt idx="4">
                  <c:v>Gifts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2815.7860740000001</c:v>
                </c:pt>
                <c:pt idx="1">
                  <c:v>527.97329100000002</c:v>
                </c:pt>
                <c:pt idx="2">
                  <c:v>0.56131229000000005</c:v>
                </c:pt>
                <c:pt idx="3">
                  <c:v>77.281861989999996</c:v>
                </c:pt>
                <c:pt idx="4">
                  <c:v>465.12164799999999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CE9-4F2C-AD66-16F4740505DA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gapWidth val="100"/>
        <c:splitType val="pos"/>
        <c:splitPos val="3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Total Endowment Funds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$1.07 Billion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ln w="3175"/>
          </c:spPr>
          <c:dPt>
            <c:idx val="0"/>
            <c:bubble3D val="0"/>
            <c:spPr>
              <a:solidFill>
                <a:srgbClr val="0070C0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36-4543-B58F-86008C41219C}"/>
              </c:ext>
            </c:extLst>
          </c:dPt>
          <c:dPt>
            <c:idx val="1"/>
            <c:bubble3D val="0"/>
            <c:spPr>
              <a:solidFill>
                <a:schemeClr val="accent1">
                  <a:lumMod val="5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36-4543-B58F-86008C41219C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36-4543-B58F-86008C41219C}"/>
              </c:ext>
            </c:extLst>
          </c:dPt>
          <c:dPt>
            <c:idx val="3"/>
            <c:bubble3D val="0"/>
            <c:spPr>
              <a:solidFill>
                <a:schemeClr val="accent4">
                  <a:lumMod val="75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36-4543-B58F-86008C41219C}"/>
              </c:ext>
            </c:extLst>
          </c:dPt>
          <c:dPt>
            <c:idx val="4"/>
            <c:bubble3D val="0"/>
            <c:spPr>
              <a:solidFill>
                <a:srgbClr val="0070C0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836-4543-B58F-86008C41219C}"/>
              </c:ext>
            </c:extLst>
          </c:dPt>
          <c:dPt>
            <c:idx val="5"/>
            <c:bubble3D val="0"/>
            <c:spPr>
              <a:solidFill>
                <a:srgbClr val="008080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836-4543-B58F-86008C41219C}"/>
              </c:ext>
            </c:extLst>
          </c:dPt>
          <c:dPt>
            <c:idx val="6"/>
            <c:bubble3D val="0"/>
            <c:spPr>
              <a:solidFill>
                <a:srgbClr val="0070C0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836-4543-B58F-86008C41219C}"/>
              </c:ext>
            </c:extLst>
          </c:dPt>
          <c:dLbls>
            <c:dLbl>
              <c:idx val="1"/>
              <c:layout>
                <c:manualLayout>
                  <c:x val="1.1454753722794959E-2"/>
                  <c:y val="-1.5681229795168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36-4543-B58F-86008C41219C}"/>
                </c:ext>
              </c:extLst>
            </c:dLbl>
            <c:dLbl>
              <c:idx val="2"/>
              <c:layout>
                <c:manualLayout>
                  <c:x val="-5.0400916380297825E-2"/>
                  <c:y val="7.83645655877342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36-4543-B58F-86008C41219C}"/>
                </c:ext>
              </c:extLst>
            </c:dLbl>
            <c:dLbl>
              <c:idx val="3"/>
              <c:layout>
                <c:manualLayout>
                  <c:x val="0"/>
                  <c:y val="1.02214650766609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36-4543-B58F-86008C41219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Endowment Fund'!$G$4:$G$7</c:f>
              <c:strCache>
                <c:ptCount val="4"/>
                <c:pt idx="0">
                  <c:v>Gifts</c:v>
                </c:pt>
                <c:pt idx="1">
                  <c:v>Permanent Core</c:v>
                </c:pt>
                <c:pt idx="2">
                  <c:v>Separately Invested</c:v>
                </c:pt>
                <c:pt idx="3">
                  <c:v>Farms</c:v>
                </c:pt>
              </c:strCache>
            </c:strRef>
          </c:cat>
          <c:val>
            <c:numRef>
              <c:f>'Total Endowment Fund'!$H$4:$H$7</c:f>
              <c:numCache>
                <c:formatCode>_(* #,##0.00_);_(* \(#,##0.00\);_(* "-"??_);_(@_)</c:formatCode>
                <c:ptCount val="4"/>
                <c:pt idx="0">
                  <c:v>465183098</c:v>
                </c:pt>
                <c:pt idx="1">
                  <c:v>527973291</c:v>
                </c:pt>
                <c:pt idx="2">
                  <c:v>561312.29</c:v>
                </c:pt>
                <c:pt idx="3">
                  <c:v>77281861.989999995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836-4543-B58F-86008C41219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2">
          <a:lumMod val="90000"/>
        </a:schemeClr>
      </a:solidFill>
      <a:round/>
    </a:ln>
    <a:effectLst/>
  </c:spPr>
  <c:txPr>
    <a:bodyPr/>
    <a:lstStyle/>
    <a:p>
      <a:pPr>
        <a:defRPr sz="105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/>
              <a:t>Endowment Pool Gifts by Purpose</a:t>
            </a:r>
            <a:r>
              <a:rPr lang="en-US" sz="1200"/>
              <a:t>
$465.1 Million</a:t>
            </a:r>
          </a:p>
        </c:rich>
      </c:tx>
      <c:layout>
        <c:manualLayout>
          <c:xMode val="edge"/>
          <c:yMode val="edge"/>
          <c:x val="0.27328174184412518"/>
          <c:y val="8.175780569774655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ln w="3175"/>
          </c:spPr>
          <c:dPt>
            <c:idx val="0"/>
            <c:bubble3D val="0"/>
            <c:spPr>
              <a:solidFill>
                <a:srgbClr val="008080">
                  <a:alpha val="69804"/>
                </a:srgb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E5-4121-B355-4F6508720390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E5-4121-B355-4F6508720390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E5-4121-B355-4F6508720390}"/>
              </c:ext>
            </c:extLst>
          </c:dPt>
          <c:dPt>
            <c:idx val="3"/>
            <c:bubble3D val="0"/>
            <c:spPr>
              <a:solidFill>
                <a:srgbClr val="7030A0">
                  <a:alpha val="69804"/>
                </a:srgb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E5-4121-B355-4F6508720390}"/>
              </c:ext>
            </c:extLst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FE5-4121-B355-4F6508720390}"/>
              </c:ext>
            </c:extLst>
          </c:dPt>
          <c:dPt>
            <c:idx val="5"/>
            <c:bubble3D val="0"/>
            <c:spPr>
              <a:solidFill>
                <a:schemeClr val="accent1">
                  <a:lumMod val="5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FE5-4121-B355-4F6508720390}"/>
              </c:ext>
            </c:extLst>
          </c:dPt>
          <c:dPt>
            <c:idx val="6"/>
            <c:bubble3D val="0"/>
            <c:spPr>
              <a:solidFill>
                <a:schemeClr val="accent4">
                  <a:lumMod val="75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FE5-4121-B355-4F6508720390}"/>
              </c:ext>
            </c:extLst>
          </c:dPt>
          <c:dLbls>
            <c:dLbl>
              <c:idx val="0"/>
              <c:layout>
                <c:manualLayout>
                  <c:x val="-1.8697988580811283E-2"/>
                  <c:y val="4.00667104111986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53346197337975"/>
                      <c:h val="0.16645857436507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FE5-4121-B355-4F6508720390}"/>
                </c:ext>
              </c:extLst>
            </c:dLbl>
            <c:dLbl>
              <c:idx val="1"/>
              <c:layout>
                <c:manualLayout>
                  <c:x val="-1.1111111111111212E-2"/>
                  <c:y val="4.62962962962962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E5-4121-B355-4F6508720390}"/>
                </c:ext>
              </c:extLst>
            </c:dLbl>
            <c:dLbl>
              <c:idx val="6"/>
              <c:layout>
                <c:manualLayout>
                  <c:x val="1.844532279314888E-2"/>
                  <c:y val="2.0481314106916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FE5-4121-B355-4F65087203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'Endowment by Gift Purpose'!$I$2:$I$8</c:f>
              <c:strCache>
                <c:ptCount val="7"/>
                <c:pt idx="0">
                  <c:v>Department/Library</c:v>
                </c:pt>
                <c:pt idx="1">
                  <c:v>Faculty/Staff</c:v>
                </c:pt>
                <c:pt idx="2">
                  <c:v>Other</c:v>
                </c:pt>
                <c:pt idx="3">
                  <c:v>Public Service</c:v>
                </c:pt>
                <c:pt idx="4">
                  <c:v>Research</c:v>
                </c:pt>
                <c:pt idx="5">
                  <c:v>Student Support</c:v>
                </c:pt>
                <c:pt idx="6">
                  <c:v>General Funds</c:v>
                </c:pt>
              </c:strCache>
            </c:strRef>
          </c:cat>
          <c:val>
            <c:numRef>
              <c:f>'Endowment by Gift Purpose'!$J$2:$J$8</c:f>
              <c:numCache>
                <c:formatCode>_("$"* #,##0.00_);_("$"* \(#,##0.00\);_("$"* "-"??_);_(@_)</c:formatCode>
                <c:ptCount val="7"/>
                <c:pt idx="0">
                  <c:v>30775417.23</c:v>
                </c:pt>
                <c:pt idx="1">
                  <c:v>42331015.699999996</c:v>
                </c:pt>
                <c:pt idx="2">
                  <c:v>79131812.980000004</c:v>
                </c:pt>
                <c:pt idx="3">
                  <c:v>23791940.57</c:v>
                </c:pt>
                <c:pt idx="4">
                  <c:v>70548060.390000001</c:v>
                </c:pt>
                <c:pt idx="5">
                  <c:v>138974124.99000001</c:v>
                </c:pt>
                <c:pt idx="6">
                  <c:v>76847138.349999994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FE5-4121-B355-4F650872039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2">
          <a:lumMod val="90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/>
              <a:t>Endowment</a:t>
            </a:r>
            <a:r>
              <a:rPr lang="en-US" sz="1200" b="1" baseline="0"/>
              <a:t> Pool by Sub-Asset Class</a:t>
            </a:r>
            <a:endParaRPr lang="en-US" sz="1200" b="1"/>
          </a:p>
          <a:p>
            <a:pPr>
              <a:defRPr sz="1200"/>
            </a:pPr>
            <a:r>
              <a:rPr lang="en-US" sz="1200"/>
              <a:t>Total Pool: $993.1 Million</a:t>
            </a:r>
          </a:p>
        </c:rich>
      </c:tx>
      <c:layout>
        <c:manualLayout>
          <c:xMode val="edge"/>
          <c:yMode val="edge"/>
          <c:x val="0.18056086500637802"/>
          <c:y val="1.72577570984562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808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2C-4A6E-BCA5-6EA7CDE229E1}"/>
              </c:ext>
            </c:extLst>
          </c:dPt>
          <c:dPt>
            <c:idx val="1"/>
            <c:bubble3D val="0"/>
            <c:spPr>
              <a:solidFill>
                <a:srgbClr val="008080">
                  <a:alpha val="69804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2C-4A6E-BCA5-6EA7CDE229E1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2C-4A6E-BCA5-6EA7CDE229E1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2C-4A6E-BCA5-6EA7CDE229E1}"/>
              </c:ext>
            </c:extLst>
          </c:dPt>
          <c:dPt>
            <c:idx val="4"/>
            <c:bubble3D val="0"/>
            <c:spPr>
              <a:solidFill>
                <a:srgbClr val="7030A0">
                  <a:alpha val="69804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2C-4A6E-BCA5-6EA7CDE229E1}"/>
              </c:ext>
            </c:extLst>
          </c:dPt>
          <c:dPt>
            <c:idx val="5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A2C-4A6E-BCA5-6EA7CDE229E1}"/>
              </c:ext>
            </c:extLst>
          </c:dPt>
          <c:dPt>
            <c:idx val="6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A2C-4A6E-BCA5-6EA7CDE229E1}"/>
              </c:ext>
            </c:extLst>
          </c:dPt>
          <c:dPt>
            <c:idx val="7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A2C-4A6E-BCA5-6EA7CDE229E1}"/>
              </c:ext>
            </c:extLst>
          </c:dPt>
          <c:dLbls>
            <c:dLbl>
              <c:idx val="0"/>
              <c:layout>
                <c:manualLayout>
                  <c:x val="-5.600000000000005E-2"/>
                  <c:y val="4.492362982929020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2C-4A6E-BCA5-6EA7CDE229E1}"/>
                </c:ext>
              </c:extLst>
            </c:dLbl>
            <c:dLbl>
              <c:idx val="1"/>
              <c:layout>
                <c:manualLayout>
                  <c:x val="-1.3333333333333334E-2"/>
                  <c:y val="2.69541778975741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2C-4A6E-BCA5-6EA7CDE229E1}"/>
                </c:ext>
              </c:extLst>
            </c:dLbl>
            <c:dLbl>
              <c:idx val="2"/>
              <c:layout>
                <c:manualLayout>
                  <c:x val="7.999999999999903E-3"/>
                  <c:y val="4.94159928122192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2C-4A6E-BCA5-6EA7CDE229E1}"/>
                </c:ext>
              </c:extLst>
            </c:dLbl>
            <c:dLbl>
              <c:idx val="3"/>
              <c:layout>
                <c:manualLayout>
                  <c:x val="5.3333333333332351E-3"/>
                  <c:y val="5.39083557951482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A2C-4A6E-BCA5-6EA7CDE229E1}"/>
                </c:ext>
              </c:extLst>
            </c:dLbl>
            <c:dLbl>
              <c:idx val="7"/>
              <c:layout>
                <c:manualLayout>
                  <c:x val="-5.3333333333333826E-3"/>
                  <c:y val="5.840071877807726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A2C-4A6E-BCA5-6EA7CDE229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'Endowment Pool Asset Allocation'!$A$4:$A$11</c:f>
              <c:strCache>
                <c:ptCount val="8"/>
                <c:pt idx="0">
                  <c:v>Cash</c:v>
                </c:pt>
                <c:pt idx="1">
                  <c:v>Diversifying Strategies</c:v>
                </c:pt>
                <c:pt idx="2">
                  <c:v>Farmland</c:v>
                </c:pt>
                <c:pt idx="3">
                  <c:v>Real Estate</c:v>
                </c:pt>
                <c:pt idx="4">
                  <c:v>Fixed Income</c:v>
                </c:pt>
                <c:pt idx="5">
                  <c:v>Private Equity</c:v>
                </c:pt>
                <c:pt idx="6">
                  <c:v>Non-U.S. Equity</c:v>
                </c:pt>
                <c:pt idx="7">
                  <c:v>U.S. Equity</c:v>
                </c:pt>
              </c:strCache>
            </c:strRef>
          </c:cat>
          <c:val>
            <c:numRef>
              <c:f>'Endowment Pool Asset Allocation'!$B$4:$B$11</c:f>
              <c:numCache>
                <c:formatCode>0.0%</c:formatCode>
                <c:ptCount val="8"/>
                <c:pt idx="0">
                  <c:v>8.172921521655243E-3</c:v>
                </c:pt>
                <c:pt idx="1">
                  <c:v>6.8373126610002791E-2</c:v>
                </c:pt>
                <c:pt idx="2">
                  <c:v>4.4423210981644125E-2</c:v>
                </c:pt>
                <c:pt idx="3">
                  <c:v>7.4999485019024953E-2</c:v>
                </c:pt>
                <c:pt idx="4">
                  <c:v>0.18285277355541935</c:v>
                </c:pt>
                <c:pt idx="5">
                  <c:v>9.2700549952153169E-2</c:v>
                </c:pt>
                <c:pt idx="6">
                  <c:v>0.24257757595923063</c:v>
                </c:pt>
                <c:pt idx="7">
                  <c:v>0.28590035640086975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A2C-4A6E-BCA5-6EA7CDE229E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Endowment Pool by Asset Category Policy Ranges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'Endowment Pool Asset Allocation'!$B$25</c:f>
              <c:strCache>
                <c:ptCount val="1"/>
                <c:pt idx="0">
                  <c:v>Bottom End of Range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'Endowment Pool Asset Allocation'!$A$26:$A$30</c:f>
              <c:strCache>
                <c:ptCount val="5"/>
                <c:pt idx="0">
                  <c:v>Global Equity</c:v>
                </c:pt>
                <c:pt idx="1">
                  <c:v>Global Fixed Income</c:v>
                </c:pt>
                <c:pt idx="2">
                  <c:v>Real Assets</c:v>
                </c:pt>
                <c:pt idx="3">
                  <c:v>Diversifying Strategies</c:v>
                </c:pt>
                <c:pt idx="4">
                  <c:v>Cash</c:v>
                </c:pt>
              </c:strCache>
            </c:strRef>
          </c:cat>
          <c:val>
            <c:numRef>
              <c:f>'Endowment Pool Asset Allocation'!$B$26:$B$30</c:f>
              <c:numCache>
                <c:formatCode>0%</c:formatCode>
                <c:ptCount val="5"/>
                <c:pt idx="0">
                  <c:v>0.46</c:v>
                </c:pt>
                <c:pt idx="1">
                  <c:v>0.15</c:v>
                </c:pt>
                <c:pt idx="2">
                  <c:v>0.09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D-489E-B9CB-FB30B521AF8C}"/>
            </c:ext>
          </c:extLst>
        </c:ser>
        <c:ser>
          <c:idx val="1"/>
          <c:order val="1"/>
          <c:tx>
            <c:strRef>
              <c:f>'Endowment Pool Asset Allocation'!$C$25</c:f>
              <c:strCache>
                <c:ptCount val="1"/>
                <c:pt idx="0">
                  <c:v>Policy Allocation Range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'Endowment Pool Asset Allocation'!$A$26:$A$30</c:f>
              <c:strCache>
                <c:ptCount val="5"/>
                <c:pt idx="0">
                  <c:v>Global Equity</c:v>
                </c:pt>
                <c:pt idx="1">
                  <c:v>Global Fixed Income</c:v>
                </c:pt>
                <c:pt idx="2">
                  <c:v>Real Assets</c:v>
                </c:pt>
                <c:pt idx="3">
                  <c:v>Diversifying Strategies</c:v>
                </c:pt>
                <c:pt idx="4">
                  <c:v>Cash</c:v>
                </c:pt>
              </c:strCache>
            </c:strRef>
          </c:cat>
          <c:val>
            <c:numRef>
              <c:f>'Endowment Pool Asset Allocation'!$C$26:$C$30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7D-489E-B9CB-FB30B521A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97568912"/>
        <c:axId val="497564976"/>
      </c:barChart>
      <c:scatterChart>
        <c:scatterStyle val="lineMarker"/>
        <c:varyColors val="0"/>
        <c:ser>
          <c:idx val="2"/>
          <c:order val="2"/>
          <c:tx>
            <c:strRef>
              <c:f>'Endowment Pool Asset Allocation'!$E$25</c:f>
              <c:strCache>
                <c:ptCount val="1"/>
                <c:pt idx="0">
                  <c:v>Actual Allocation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2.65604249667994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7D-489E-B9CB-FB30B521AF8C}"/>
                </c:ext>
              </c:extLst>
            </c:dLbl>
            <c:dLbl>
              <c:idx val="1"/>
              <c:layout>
                <c:manualLayout>
                  <c:x val="1.85922974767596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7D-489E-B9CB-FB30B521AF8C}"/>
                </c:ext>
              </c:extLst>
            </c:dLbl>
            <c:dLbl>
              <c:idx val="2"/>
              <c:layout>
                <c:manualLayout>
                  <c:x val="1.8592297476759532E-2"/>
                  <c:y val="-4.3431053203040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7D-489E-B9CB-FB30B521AF8C}"/>
                </c:ext>
              </c:extLst>
            </c:dLbl>
            <c:dLbl>
              <c:idx val="3"/>
              <c:layout>
                <c:manualLayout>
                  <c:x val="1.8592297476759629E-2"/>
                  <c:y val="-4.3431053203039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7D-489E-B9CB-FB30B521AF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yVal>
            <c:numRef>
              <c:f>'Endowment Pool Asset Allocation'!$E$26:$E$30</c:f>
              <c:numCache>
                <c:formatCode>0%</c:formatCode>
                <c:ptCount val="5"/>
                <c:pt idx="0">
                  <c:v>0.62452484573837341</c:v>
                </c:pt>
                <c:pt idx="1">
                  <c:v>0.18383782350678399</c:v>
                </c:pt>
                <c:pt idx="2">
                  <c:v>0.12006604047174235</c:v>
                </c:pt>
                <c:pt idx="3">
                  <c:v>6.8741460891907566E-2</c:v>
                </c:pt>
                <c:pt idx="4">
                  <c:v>8.2169500359122235E-3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507D-489E-B9CB-FB30B521A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7572848"/>
        <c:axId val="497562024"/>
      </c:scatterChart>
      <c:catAx>
        <c:axId val="49756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7564976"/>
        <c:crosses val="autoZero"/>
        <c:auto val="1"/>
        <c:lblAlgn val="ctr"/>
        <c:lblOffset val="100"/>
        <c:noMultiLvlLbl val="0"/>
      </c:catAx>
      <c:valAx>
        <c:axId val="49756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7568912"/>
        <c:crosses val="autoZero"/>
        <c:crossBetween val="between"/>
      </c:valAx>
      <c:valAx>
        <c:axId val="497562024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extTo"/>
        <c:crossAx val="497572848"/>
        <c:crosses val="max"/>
        <c:crossBetween val="midCat"/>
      </c:valAx>
      <c:valAx>
        <c:axId val="49757284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97562024"/>
        <c:crosses val="max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2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en-US" sz="1200">
                <a:solidFill>
                  <a:schemeClr val="tx1">
                    <a:lumMod val="65000"/>
                    <a:lumOff val="35000"/>
                  </a:schemeClr>
                </a:solidFill>
              </a:rPr>
              <a:t>Five Year Returns - Effective Spending Rate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'Effective Spend'!$A$11</c:f>
              <c:strCache>
                <c:ptCount val="1"/>
                <c:pt idx="0">
                  <c:v>Effective Spending Rate</c:v>
                </c:pt>
              </c:strCache>
            </c:strRef>
          </c:tx>
          <c:spPr>
            <a:solidFill>
              <a:srgbClr val="5B9BD5">
                <a:lumMod val="50000"/>
              </a:srgbClr>
            </a:solidFill>
            <a:ln>
              <a:noFill/>
            </a:ln>
            <a:effectLst/>
          </c:spPr>
          <c:invertIfNegative val="0"/>
          <c:cat>
            <c:strRef>
              <c:f>'Effective Spend'!$H$9:$L$9</c:f>
              <c:strCache>
                <c:ptCount val="5"/>
                <c:pt idx="0">
                  <c:v>FY17</c:v>
                </c:pt>
                <c:pt idx="1">
                  <c:v>FY18</c:v>
                </c:pt>
                <c:pt idx="2">
                  <c:v>FY19</c:v>
                </c:pt>
                <c:pt idx="3">
                  <c:v>FY20</c:v>
                </c:pt>
                <c:pt idx="4">
                  <c:v>FY21</c:v>
                </c:pt>
              </c:strCache>
            </c:strRef>
          </c:cat>
          <c:val>
            <c:numRef>
              <c:f>'Effective Spend'!$H$11:$L$11</c:f>
              <c:numCache>
                <c:formatCode>0.0%</c:formatCode>
                <c:ptCount val="5"/>
                <c:pt idx="0">
                  <c:v>4.7699999999999999E-2</c:v>
                </c:pt>
                <c:pt idx="1">
                  <c:v>4.7300000000000002E-2</c:v>
                </c:pt>
                <c:pt idx="2">
                  <c:v>4.82E-2</c:v>
                </c:pt>
                <c:pt idx="3">
                  <c:v>4.99E-2</c:v>
                </c:pt>
                <c:pt idx="4">
                  <c:v>5.1700000000000003E-2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E-4EB6-907F-9DC5E58864D4}"/>
            </c:ext>
          </c:extLst>
        </c:ser>
        <c:ser>
          <c:idx val="2"/>
          <c:order val="2"/>
          <c:tx>
            <c:strRef>
              <c:f>'Effective Spend'!$A$12</c:f>
              <c:strCache>
                <c:ptCount val="1"/>
                <c:pt idx="0">
                  <c:v>CPI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>
              <a:noFill/>
            </a:ln>
            <a:effectLst/>
          </c:spPr>
          <c:invertIfNegative val="0"/>
          <c:cat>
            <c:strRef>
              <c:f>'Effective Spend'!$H$9:$L$9</c:f>
              <c:strCache>
                <c:ptCount val="5"/>
                <c:pt idx="0">
                  <c:v>FY17</c:v>
                </c:pt>
                <c:pt idx="1">
                  <c:v>FY18</c:v>
                </c:pt>
                <c:pt idx="2">
                  <c:v>FY19</c:v>
                </c:pt>
                <c:pt idx="3">
                  <c:v>FY20</c:v>
                </c:pt>
                <c:pt idx="4">
                  <c:v>FY21</c:v>
                </c:pt>
              </c:strCache>
            </c:strRef>
          </c:cat>
          <c:val>
            <c:numRef>
              <c:f>'Effective Spend'!$H$12:$L$12</c:f>
              <c:numCache>
                <c:formatCode>0.0%</c:formatCode>
                <c:ptCount val="5"/>
                <c:pt idx="0">
                  <c:v>1.2999999999999999E-2</c:v>
                </c:pt>
                <c:pt idx="1">
                  <c:v>1.4999999999999999E-2</c:v>
                </c:pt>
                <c:pt idx="2">
                  <c:v>1.4E-2</c:v>
                </c:pt>
                <c:pt idx="3">
                  <c:v>1.6E-2</c:v>
                </c:pt>
                <c:pt idx="4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FE-4EB6-907F-9DC5E5886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67084512"/>
        <c:axId val="567084904"/>
      </c:barChart>
      <c:lineChart>
        <c:grouping val="standard"/>
        <c:varyColors val="0"/>
        <c:ser>
          <c:idx val="0"/>
          <c:order val="0"/>
          <c:tx>
            <c:strRef>
              <c:f>'Effective Spend'!$A$10</c:f>
              <c:strCache>
                <c:ptCount val="1"/>
                <c:pt idx="0">
                  <c:v>Endowment Pool Total Return</c:v>
                </c:pt>
              </c:strCache>
            </c:strRef>
          </c:tx>
          <c:spPr>
            <a:ln w="28575" cap="rnd">
              <a:solidFill>
                <a:schemeClr val="tx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2777777777777778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FE-4EB6-907F-9DC5E58864D4}"/>
                </c:ext>
              </c:extLst>
            </c:dLbl>
            <c:dLbl>
              <c:idx val="1"/>
              <c:layout>
                <c:manualLayout>
                  <c:x val="-5.2803777482918979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FE-4EB6-907F-9DC5E58864D4}"/>
                </c:ext>
              </c:extLst>
            </c:dLbl>
            <c:dLbl>
              <c:idx val="2"/>
              <c:layout>
                <c:manualLayout>
                  <c:x val="-4.4393642001717845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FE-4EB6-907F-9DC5E58864D4}"/>
                </c:ext>
              </c:extLst>
            </c:dLbl>
            <c:dLbl>
              <c:idx val="3"/>
              <c:layout>
                <c:manualLayout>
                  <c:x val="-4.99615171496346E-2"/>
                  <c:y val="-0.138888888888888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FE-4EB6-907F-9DC5E58864D4}"/>
                </c:ext>
              </c:extLst>
            </c:dLbl>
            <c:dLbl>
              <c:idx val="4"/>
              <c:layout>
                <c:manualLayout>
                  <c:x val="-5.00000000000001E-2"/>
                  <c:y val="-5.0925925925925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FE-4EB6-907F-9DC5E58864D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'Effective Spend'!$H$9:$L$9</c:f>
              <c:strCache>
                <c:ptCount val="5"/>
                <c:pt idx="0">
                  <c:v>FY17</c:v>
                </c:pt>
                <c:pt idx="1">
                  <c:v>FY18</c:v>
                </c:pt>
                <c:pt idx="2">
                  <c:v>FY19</c:v>
                </c:pt>
                <c:pt idx="3">
                  <c:v>FY20</c:v>
                </c:pt>
                <c:pt idx="4">
                  <c:v>FY21</c:v>
                </c:pt>
              </c:strCache>
            </c:strRef>
          </c:cat>
          <c:val>
            <c:numRef>
              <c:f>'Effective Spend'!$H$10:$L$10</c:f>
              <c:numCache>
                <c:formatCode>0.0%</c:formatCode>
                <c:ptCount val="5"/>
                <c:pt idx="0">
                  <c:v>8.6999999999999994E-2</c:v>
                </c:pt>
                <c:pt idx="1">
                  <c:v>7.2999999999999995E-2</c:v>
                </c:pt>
                <c:pt idx="2">
                  <c:v>5.3999999999999999E-2</c:v>
                </c:pt>
                <c:pt idx="3">
                  <c:v>4.5999999999999999E-2</c:v>
                </c:pt>
                <c:pt idx="4">
                  <c:v>0.10199999999999999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4FE-4EB6-907F-9DC5E5886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7084512"/>
        <c:axId val="567084904"/>
      </c:lineChart>
      <c:catAx>
        <c:axId val="567084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67084904"/>
        <c:crosses val="autoZero"/>
        <c:auto val="0"/>
        <c:lblAlgn val="ctr"/>
        <c:lblOffset val="100"/>
        <c:noMultiLvlLbl val="1"/>
      </c:catAx>
      <c:valAx>
        <c:axId val="567084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670845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Endowment Pool Historical Performance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'Endowment Pool'!$B$2</c:f>
              <c:strCache>
                <c:ptCount val="1"/>
                <c:pt idx="0">
                  <c:v>Pool</c:v>
                </c:pt>
              </c:strCache>
            </c:strRef>
          </c:tx>
          <c:spPr>
            <a:solidFill>
              <a:srgbClr val="5B9BD5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'Endowment Pool'!$A$3:$A$7</c:f>
              <c:strCache>
                <c:ptCount val="5"/>
                <c:pt idx="0">
                  <c:v>1 Year</c:v>
                </c:pt>
                <c:pt idx="1">
                  <c:v>3 Years</c:v>
                </c:pt>
                <c:pt idx="2">
                  <c:v>5 Years</c:v>
                </c:pt>
                <c:pt idx="3">
                  <c:v>10 Years</c:v>
                </c:pt>
                <c:pt idx="4">
                  <c:v>Since Inception </c:v>
                </c:pt>
              </c:strCache>
            </c:strRef>
          </c:cat>
          <c:val>
            <c:numRef>
              <c:f>'Endowment Pool'!$B$3:$B$7</c:f>
              <c:numCache>
                <c:formatCode>General</c:formatCode>
                <c:ptCount val="5"/>
                <c:pt idx="0" formatCode="0.0">
                  <c:v>27.7</c:v>
                </c:pt>
                <c:pt idx="1">
                  <c:v>10.4</c:v>
                </c:pt>
                <c:pt idx="2">
                  <c:v>10.199999999999999</c:v>
                </c:pt>
                <c:pt idx="3">
                  <c:v>8.5</c:v>
                </c:pt>
                <c:pt idx="4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8E-4C7E-8195-0109E4B6B29B}"/>
            </c:ext>
          </c:extLst>
        </c:ser>
        <c:ser>
          <c:idx val="1"/>
          <c:order val="1"/>
          <c:tx>
            <c:strRef>
              <c:f>'Endowment Pool'!$C$2</c:f>
              <c:strCache>
                <c:ptCount val="1"/>
                <c:pt idx="0">
                  <c:v>Benchmark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'Endowment Pool'!$A$3:$A$7</c:f>
              <c:strCache>
                <c:ptCount val="5"/>
                <c:pt idx="0">
                  <c:v>1 Year</c:v>
                </c:pt>
                <c:pt idx="1">
                  <c:v>3 Years</c:v>
                </c:pt>
                <c:pt idx="2">
                  <c:v>5 Years</c:v>
                </c:pt>
                <c:pt idx="3">
                  <c:v>10 Years</c:v>
                </c:pt>
                <c:pt idx="4">
                  <c:v>Since Inception </c:v>
                </c:pt>
              </c:strCache>
            </c:strRef>
          </c:cat>
          <c:val>
            <c:numRef>
              <c:f>'Endowment Pool'!$C$3:$C$7</c:f>
              <c:numCache>
                <c:formatCode>General</c:formatCode>
                <c:ptCount val="5"/>
                <c:pt idx="0" formatCode="0.0">
                  <c:v>26.2</c:v>
                </c:pt>
                <c:pt idx="1">
                  <c:v>11.3</c:v>
                </c:pt>
                <c:pt idx="2" formatCode="0.0">
                  <c:v>10.7</c:v>
                </c:pt>
                <c:pt idx="3" formatCode="0.0">
                  <c:v>9.1999999999999993</c:v>
                </c:pt>
                <c:pt idx="4" formatCode="0.0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8E-4C7E-8195-0109E4B6B2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73546392"/>
        <c:axId val="973546784"/>
      </c:barChart>
      <c:catAx>
        <c:axId val="97354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73546784"/>
        <c:crosses val="autoZero"/>
        <c:auto val="1"/>
        <c:lblAlgn val="ctr"/>
        <c:lblOffset val="100"/>
        <c:noMultiLvlLbl val="0"/>
      </c:catAx>
      <c:valAx>
        <c:axId val="973546784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Return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7354639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5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Operating Pool by Liquidity Layer Policy Ranges</a:t>
            </a:r>
          </a:p>
          <a:p>
            <a:pPr>
              <a:defRPr/>
            </a:pPr>
            <a:r>
              <a:rPr lang="en-US" b="0">
                <a:latin typeface="Times New Roman" panose="02020603050405020304" pitchFamily="18" charset="0"/>
                <a:cs typeface="Times New Roman" panose="02020603050405020304" pitchFamily="18" charset="0"/>
              </a:rPr>
              <a:t>Total Pool: $2.82 Billion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'Operating Pool'!$B$33</c:f>
              <c:strCache>
                <c:ptCount val="1"/>
                <c:pt idx="0">
                  <c:v>Column1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'Operating Pool'!$A$34:$A$37</c:f>
              <c:strCache>
                <c:ptCount val="4"/>
                <c:pt idx="0">
                  <c:v>Primary Liquidity
(0-1 Year)</c:v>
                </c:pt>
                <c:pt idx="1">
                  <c:v>Liquid Core
(1-3 Years)</c:v>
                </c:pt>
                <c:pt idx="2">
                  <c:v>Core
(3-5 Years)</c:v>
                </c:pt>
                <c:pt idx="3">
                  <c:v>Permanent Core
(5+ Years)</c:v>
                </c:pt>
              </c:strCache>
            </c:strRef>
          </c:cat>
          <c:val>
            <c:numRef>
              <c:f>'Operating Pool'!$B$34:$B$37</c:f>
              <c:numCache>
                <c:formatCode>_(* #,##0_);_(* \(#,##0\);_(* "-"??_);_(@_)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57-4C08-B57E-C69F7244DDCD}"/>
            </c:ext>
          </c:extLst>
        </c:ser>
        <c:ser>
          <c:idx val="1"/>
          <c:order val="1"/>
          <c:tx>
            <c:strRef>
              <c:f>'Operating Pool'!$C$33</c:f>
              <c:strCache>
                <c:ptCount val="1"/>
                <c:pt idx="0">
                  <c:v>Policy Range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'Operating Pool'!$A$34:$A$37</c:f>
              <c:strCache>
                <c:ptCount val="4"/>
                <c:pt idx="0">
                  <c:v>Primary Liquidity
(0-1 Year)</c:v>
                </c:pt>
                <c:pt idx="1">
                  <c:v>Liquid Core
(1-3 Years)</c:v>
                </c:pt>
                <c:pt idx="2">
                  <c:v>Core
(3-5 Years)</c:v>
                </c:pt>
                <c:pt idx="3">
                  <c:v>Permanent Core
(5+ Years)</c:v>
                </c:pt>
              </c:strCache>
            </c:strRef>
          </c:cat>
          <c:val>
            <c:numRef>
              <c:f>'Operating Pool'!$C$34:$C$37</c:f>
              <c:numCache>
                <c:formatCode>_(* #,##0_);_(* \(#,##0\);_(* "-"??_);_(@_)</c:formatCode>
                <c:ptCount val="4"/>
                <c:pt idx="0">
                  <c:v>45</c:v>
                </c:pt>
                <c:pt idx="1">
                  <c:v>30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57-4C08-B57E-C69F7244D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67088432"/>
        <c:axId val="567088824"/>
      </c:barChart>
      <c:scatterChart>
        <c:scatterStyle val="lineMarker"/>
        <c:varyColors val="0"/>
        <c:ser>
          <c:idx val="2"/>
          <c:order val="2"/>
          <c:tx>
            <c:strRef>
              <c:f>'Operating Pool'!$D$33</c:f>
              <c:strCache>
                <c:ptCount val="1"/>
                <c:pt idx="0">
                  <c:v>Actual Allocation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4.0532365396249243E-2"/>
                  <c:y val="-2.6610644257703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57-4C08-B57E-C69F7244DD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strRef>
              <c:f>'Operating Pool'!$A$34:$A$37</c:f>
              <c:strCache>
                <c:ptCount val="4"/>
                <c:pt idx="0">
                  <c:v>Primary Liquidity
(0-1 Year)</c:v>
                </c:pt>
                <c:pt idx="1">
                  <c:v>Liquid Core
(1-3 Years)</c:v>
                </c:pt>
                <c:pt idx="2">
                  <c:v>Core
(3-5 Years)</c:v>
                </c:pt>
                <c:pt idx="3">
                  <c:v>Permanent Core
(5+ Years)</c:v>
                </c:pt>
              </c:strCache>
            </c:strRef>
          </c:xVal>
          <c:yVal>
            <c:numRef>
              <c:f>'Operating Pool'!$D$34:$D$37</c:f>
              <c:numCache>
                <c:formatCode>_(* #,##0_);_(* \(#,##0\);_(* "-"??_);_(@_)</c:formatCode>
                <c:ptCount val="4"/>
                <c:pt idx="0">
                  <c:v>50</c:v>
                </c:pt>
                <c:pt idx="1">
                  <c:v>19</c:v>
                </c:pt>
                <c:pt idx="2">
                  <c:v>15</c:v>
                </c:pt>
                <c:pt idx="3">
                  <c:v>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757-4C08-B57E-C69F7244D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7088432"/>
        <c:axId val="567088824"/>
      </c:scatterChart>
      <c:catAx>
        <c:axId val="5670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7088824"/>
        <c:crosses val="autoZero"/>
        <c:auto val="1"/>
        <c:lblAlgn val="ctr"/>
        <c:lblOffset val="100"/>
        <c:noMultiLvlLbl val="0"/>
      </c:catAx>
      <c:valAx>
        <c:axId val="567088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 of Total Pool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70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Operating Pool Historical Performance</a:t>
            </a:r>
          </a:p>
          <a:p>
            <a:pPr>
              <a:defRPr/>
            </a:pPr>
            <a:r>
              <a:rPr lang="en-US" b="0">
                <a:latin typeface="Times New Roman" panose="02020603050405020304" pitchFamily="18" charset="0"/>
                <a:cs typeface="Times New Roman" panose="02020603050405020304" pitchFamily="18" charset="0"/>
              </a:rPr>
              <a:t>Total Pool:</a:t>
            </a:r>
            <a:r>
              <a:rPr lang="en-US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$2.82 Billion</a:t>
            </a:r>
            <a:endParaRPr lang="en-US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'Operating Pool'!$A$3</c:f>
              <c:strCache>
                <c:ptCount val="1"/>
                <c:pt idx="0">
                  <c:v>Pool</c:v>
                </c:pt>
              </c:strCache>
            </c:strRef>
          </c:tx>
          <c:spPr>
            <a:solidFill>
              <a:srgbClr val="5B9BD5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'Operating Pool'!$B$2:$F$2</c:f>
              <c:strCache>
                <c:ptCount val="5"/>
                <c:pt idx="0">
                  <c:v>1 Year</c:v>
                </c:pt>
                <c:pt idx="1">
                  <c:v>3 Years</c:v>
                </c:pt>
                <c:pt idx="2">
                  <c:v>5 Years</c:v>
                </c:pt>
                <c:pt idx="3">
                  <c:v>10 Years </c:v>
                </c:pt>
                <c:pt idx="4">
                  <c:v>Since Inception
</c:v>
                </c:pt>
              </c:strCache>
            </c:strRef>
          </c:cat>
          <c:val>
            <c:numRef>
              <c:f>'Operating Pool'!$B$3:$F$3</c:f>
              <c:numCache>
                <c:formatCode>_(* #,##0.0_);_(* \(#,##0.0\);_(* "-"??_);_(@_)</c:formatCode>
                <c:ptCount val="5"/>
                <c:pt idx="0">
                  <c:v>0.7</c:v>
                </c:pt>
                <c:pt idx="1">
                  <c:v>2.7</c:v>
                </c:pt>
                <c:pt idx="2">
                  <c:v>1.9</c:v>
                </c:pt>
                <c:pt idx="3">
                  <c:v>1.5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95-421F-8E6F-0745E602EA62}"/>
            </c:ext>
          </c:extLst>
        </c:ser>
        <c:ser>
          <c:idx val="1"/>
          <c:order val="1"/>
          <c:tx>
            <c:strRef>
              <c:f>'Operating Pool'!$A$4</c:f>
              <c:strCache>
                <c:ptCount val="1"/>
                <c:pt idx="0">
                  <c:v>Benchmark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'Operating Pool'!$B$2:$F$2</c:f>
              <c:strCache>
                <c:ptCount val="5"/>
                <c:pt idx="0">
                  <c:v>1 Year</c:v>
                </c:pt>
                <c:pt idx="1">
                  <c:v>3 Years</c:v>
                </c:pt>
                <c:pt idx="2">
                  <c:v>5 Years</c:v>
                </c:pt>
                <c:pt idx="3">
                  <c:v>10 Years </c:v>
                </c:pt>
                <c:pt idx="4">
                  <c:v>Since Inception
</c:v>
                </c:pt>
              </c:strCache>
            </c:strRef>
          </c:cat>
          <c:val>
            <c:numRef>
              <c:f>'Operating Pool'!$B$4:$F$4</c:f>
              <c:numCache>
                <c:formatCode>_(* #,##0.0_);_(* \(#,##0.0\);_(* "-"??_);_(@_)</c:formatCode>
                <c:ptCount val="5"/>
                <c:pt idx="0">
                  <c:v>0.2</c:v>
                </c:pt>
                <c:pt idx="1">
                  <c:v>2.6</c:v>
                </c:pt>
                <c:pt idx="2">
                  <c:v>1.7</c:v>
                </c:pt>
                <c:pt idx="3">
                  <c:v>1.3</c:v>
                </c:pt>
                <c:pt idx="4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95-421F-8E6F-0745E602EA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7089608"/>
        <c:axId val="567090000"/>
      </c:barChart>
      <c:catAx>
        <c:axId val="56708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7090000"/>
        <c:crosses val="autoZero"/>
        <c:auto val="1"/>
        <c:lblAlgn val="ctr"/>
        <c:lblOffset val="100"/>
        <c:noMultiLvlLbl val="0"/>
      </c:catAx>
      <c:valAx>
        <c:axId val="56709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Return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* #,##0.0_);_(* \(#,##0.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708960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915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0.92974</cdr:y>
    </cdr:from>
    <cdr:to>
      <cdr:x>0.26388</cdr:x>
      <cdr:y>0.98855</cdr:y>
    </cdr:to>
    <cdr:sp macro="" textlink="">
      <cdr:nvSpPr>
        <cdr:cNvPr id="3" name="TextBox 9"/>
        <cdr:cNvSpPr txBox="1"/>
      </cdr:nvSpPr>
      <cdr:spPr>
        <a:xfrm xmlns:a="http://schemas.openxmlformats.org/drawingml/2006/main">
          <a:off x="0" y="4023465"/>
          <a:ext cx="1761431" cy="254493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r>
            <a:rPr lang="en-US" sz="1050" dirty="0">
              <a:latin typeface="Times New Roman" panose="02020603050405020304" pitchFamily="18" charset="0"/>
              <a:cs typeface="Times New Roman" panose="02020603050405020304" pitchFamily="18" charset="0"/>
            </a:rPr>
            <a:t>(All figures in Millions)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C7DC-B686-4E62-91E8-6C18D92D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Peter</dc:creator>
  <cp:keywords/>
  <dc:description/>
  <cp:lastModifiedBy>Williams, Aubrie Lee</cp:lastModifiedBy>
  <cp:revision>4</cp:revision>
  <cp:lastPrinted>2019-08-19T14:25:00Z</cp:lastPrinted>
  <dcterms:created xsi:type="dcterms:W3CDTF">2021-08-31T17:40:00Z</dcterms:created>
  <dcterms:modified xsi:type="dcterms:W3CDTF">2021-09-23T15:00:00Z</dcterms:modified>
</cp:coreProperties>
</file>